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t xml:space="preserve">Paul Day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Independent researcher.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b/>
          <w:bCs/>
        </w:rPr>
        <w:t xml:space="preserve">ORCID: to be registered before submission.</w:t>
      </w:r>
      <w:r>
        <w:t xml:space="preserve"> </w:t>
      </w:r>
      <w:r>
        <w:t xml:space="preserve">A project intended to outlive its authors</w:t>
      </w:r>
      <w:r>
        <w:t xml:space="preserve"> </w:t>
      </w:r>
      <w:r>
        <w:t xml:space="preserve">needs a durable identifier that survives an email address and a code-hosting handle; a</w:t>
      </w:r>
      <w:r>
        <w:t xml:space="preserve"> </w:t>
      </w:r>
      <w:r>
        <w:t xml:space="preserve">GitHub username is not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wrote this, and how to reach them. One outstanding item: a</w:t>
      </w:r>
      <w:r>
        <w:t xml:space="preserve"> </w:t>
      </w:r>
      <w:r>
        <w:t xml:space="preserve">permanent researcher ID number, which matters more here than usual because the project is</w:t>
      </w:r>
      <w:r>
        <w:t xml:space="preserve"> </w:t>
      </w:r>
      <w:r>
        <w:t xml:space="preserve">meant to continue long after the people who started it have stopped.</w:t>
      </w:r>
    </w:p>
    <w:p>
      <w:r>
        <w:pict>
          <v:rect style="width:0;height:1.5pt" o:hralign="center" o:hrstd="t" o:hr="t"/>
        </w:pict>
      </w:r>
    </w:p>
    <w:bookmarkEnd w:id="9"/>
    <w:bookmarkStart w:id="1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P.D.</w:t>
      </w:r>
      <w:r>
        <w:t xml:space="preserve"> </w:t>
      </w:r>
      <w:r>
        <w:t xml:space="preserve">conceived the project, set its scope and governance rules, made every scoping and</w:t>
      </w:r>
      <w:r>
        <w:t xml:space="preserve"> </w:t>
      </w:r>
      <w:r>
        <w:t xml:space="preserve">acceptance decision, and is accountable for all claims herein. CRediT: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— original draft, writing — review and editing, supervision, project administration.</w:t>
      </w:r>
    </w:p>
    <w:p>
      <w:pPr>
        <w:pStyle w:val="BodyText"/>
      </w:pPr>
      <w:r>
        <w:rPr>
          <w:b/>
          <w:bCs/>
        </w:rPr>
        <w:t xml:space="preserve">AI assistance, disclosed.</w:t>
      </w:r>
      <w:r>
        <w:t xml:space="preserve"> </w:t>
      </w:r>
      <w:r>
        <w:t xml:space="preserve">This work was produced with extensive assistance from</w:t>
      </w:r>
      <w:r>
        <w:t xml:space="preserve"> </w:t>
      </w:r>
      <w:r>
        <w:t xml:space="preserve">Anthropic’s Claude, used for implementation, derivation, literature verification, review and</w:t>
      </w:r>
      <w:r>
        <w:t xml:space="preserve"> </w:t>
      </w:r>
      <w:r>
        <w:t xml:space="preserve">drafting. As of commit</w:t>
      </w:r>
      <w:r>
        <w:t xml:space="preserve"> </w:t>
      </w:r>
      <w:r>
        <w:rPr>
          <w:rStyle w:val="VerbatimChar"/>
        </w:rPr>
        <w:t xml:space="preserve">93f215c</w:t>
      </w:r>
      <w:r>
        <w:t xml:space="preserve"> </w:t>
      </w:r>
      <w:r>
        <w:t xml:space="preserve">(2026-08-06), 55 of 61 commits carry a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trailer naming the model — 35 Claude Opus 5, 20 Claude Sonnet 5 — and those trailers, not</w:t>
      </w:r>
      <w:r>
        <w:t xml:space="preserve"> </w:t>
      </w:r>
      <w:r>
        <w:t xml:space="preserve">this paragraph, are the authoritative record.</w:t>
      </w:r>
    </w:p>
    <w:p>
      <w:pPr>
        <w:pStyle w:val="BodyText"/>
      </w:pPr>
      <w:r>
        <w:rPr>
          <w:b/>
          <w:bCs/>
        </w:rPr>
        <w:t xml:space="preserve">The models are not authors and are not eligible to be.</w:t>
      </w:r>
      <w:r>
        <w:t xml:space="preserve"> </w:t>
      </w:r>
      <w:r>
        <w:t xml:space="preserve">Nature, Science and all</w:t>
      </w:r>
      <w:r>
        <w:t xml:space="preserve"> </w:t>
      </w:r>
      <w:r>
        <w:t xml:space="preserve">Springer-Nature journals hold that Large Language Models do not satisfy authorship</w:t>
      </w:r>
      <w:r>
        <w:t xml:space="preserve"> </w:t>
      </w:r>
      <w:r>
        <w:t xml:space="preserve">criteria, because authorship carries accountability that cannot be assigned to a</w:t>
      </w:r>
      <w:r>
        <w:t xml:space="preserve"> </w:t>
      </w:r>
      <w:r>
        <w:t xml:space="preserve">tool</w:t>
      </w:r>
      <w:r>
        <w:t xml:space="preserve">23</w:t>
      </w:r>
      <w:r>
        <w:t xml:space="preserve">. Disclosure is required; authorship is prohibited. Accountability for</w:t>
      </w:r>
      <w:r>
        <w:t xml:space="preserve"> </w:t>
      </w:r>
      <w:r>
        <w:t xml:space="preserve">every claim here rests with the human author.</w:t>
      </w:r>
    </w:p>
    <w:p>
      <w:pPr>
        <w:pStyle w:val="BodyText"/>
      </w:pPr>
      <w:r>
        <w:t xml:space="preserve">We report this in unusual detail because the project’s own README states a falsifiable</w:t>
      </w:r>
      <w:r>
        <w:t xml:space="preserve"> </w:t>
      </w:r>
      <w:r>
        <w:t xml:space="preserve">hypothesis about whether AI tooling lets an educated amateur produce work consistent with</w:t>
      </w:r>
      <w:r>
        <w:t xml:space="preserve"> </w:t>
      </w:r>
      <w:r>
        <w:t xml:space="preserve">the literature — and because the honest answer includes the failures. Over the development</w:t>
      </w:r>
      <w:r>
        <w:t xml:space="preserve"> </w:t>
      </w:r>
      <w:r>
        <w:t xml:space="preserve">period the framework’s own audit machinery found</w:t>
      </w:r>
      <w:r>
        <w:t xml:space="preserve"> </w:t>
      </w:r>
      <w:r>
        <w:rPr>
          <w:b/>
          <w:bCs/>
        </w:rPr>
        <w:t xml:space="preserve">seven defects in its own records</w:t>
      </w:r>
      <w:r>
        <w:t xml:space="preserve">,</w:t>
      </w:r>
      <w:r>
        <w:t xml:space="preserve"> </w:t>
      </w:r>
      <w:r>
        <w:t xml:space="preserve">including a citation that pointed at the wrong equation for the manuscript’s central claim</w:t>
      </w:r>
      <w:r>
        <w:t xml:space="preserve"> </w:t>
      </w:r>
      <w:r>
        <w:t xml:space="preserve">(EQ-040), an alignment-precision figure quoted more tightly than any test enforced, and an</w:t>
      </w:r>
      <w:r>
        <w:t xml:space="preserve"> </w:t>
      </w:r>
      <w:r>
        <w:t xml:space="preserve">architecture description contradicted by the import graph. Each is logged with a date and a</w:t>
      </w:r>
      <w:r>
        <w:t xml:space="preserve"> </w:t>
      </w:r>
      <w:r>
        <w:t xml:space="preserve">reason in</w:t>
      </w:r>
      <w:r>
        <w:t xml:space="preserve"> </w:t>
      </w:r>
      <w:r>
        <w:rPr>
          <w:rStyle w:val="VerbatimChar"/>
        </w:rPr>
        <w:t xml:space="preserve">docs/CLAIMS.md</w:t>
      </w:r>
      <w:r>
        <w:t xml:space="preserve"> </w:t>
      </w:r>
      <w:r>
        <w:t xml:space="preserve">rather than silently corrected. A case study that reported only</w:t>
      </w:r>
      <w:r>
        <w:t xml:space="preserve"> </w:t>
      </w:r>
      <w:r>
        <w:t xml:space="preserve">the successes would be measuring the wrong thing.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did what, and an unusually detailed account of how much of</w:t>
      </w:r>
      <w:r>
        <w:t xml:space="preserve"> </w:t>
      </w:r>
      <w:r>
        <w:t xml:space="preserve">this was done with AI help. The short version: a lot — roughly nine commits in ten involved</w:t>
      </w:r>
      <w:r>
        <w:t xml:space="preserve"> </w:t>
      </w:r>
      <w:r>
        <w:t xml:space="preserve">it. The AI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as an author, because every major scientific</w:t>
      </w:r>
      <w:r>
        <w:t xml:space="preserve"> </w:t>
      </w:r>
      <w:r>
        <w:t xml:space="preserve">publisher forbids it: being an author means being answerable for the work, and a tool</w:t>
      </w:r>
      <w:r>
        <w:t xml:space="preserve"> </w:t>
      </w:r>
      <w:r>
        <w:t xml:space="preserve">cannot be answerable. So the human is accountable for all of it, and the AI use is</w:t>
      </w:r>
      <w:r>
        <w:t xml:space="preserve"> </w:t>
      </w:r>
      <w:r>
        <w:t xml:space="preserve">disclosed instead. We give the numbers rather than a vague acknowledgement because this</w:t>
      </w:r>
      <w:r>
        <w:t xml:space="preserve"> </w:t>
      </w:r>
      <w:r>
        <w:t xml:space="preserve">project has publicly bet that this way of working can produce sound results — and a bet</w:t>
      </w:r>
      <w:r>
        <w:t xml:space="preserve"> </w:t>
      </w:r>
      <w:r>
        <w:t xml:space="preserve">you report selectively isn’t a bet. That includes listing the seven mistakes the project</w:t>
      </w:r>
      <w:r>
        <w:t xml:space="preserve"> </w:t>
      </w:r>
      <w:r>
        <w:t xml:space="preserve">caught in its own paperwork.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1"/>
    <w:bookmarkStart w:id="16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2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</w:t>
      </w:r>
      <w:r>
        <w:t xml:space="preserve">16</w:t>
      </w:r>
      <w:r>
        <w:t xml:space="preserve">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2"/>
    <w:bookmarkStart w:id="13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3"/>
    <w:bookmarkStart w:id="14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4"/>
    <w:bookmarkStart w:id="15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7" w:name="Xc0913c212bb8b0c1730e82d1901b32c267d1df6"/>
      <w:r>
        <w:t xml:space="preserve">✅ Campaign run 2026-08-03 — pre-registration honoured</w:t>
      </w:r>
      <w:bookmarkEnd w:id="17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8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8"/>
    <w:bookmarkStart w:id="19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9"/>
    <w:bookmarkStart w:id="20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</w:t>
      </w:r>
      <w:r>
        <w:t xml:space="preserve">13,14</w:t>
      </w:r>
      <w:r>
        <w:t xml:space="preserve">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20"/>
    <w:bookmarkStart w:id="21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1"/>
    <w:bookmarkStart w:id="22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 — the −3 dB extent of a</w:t>
      </w:r>
      <w:r>
        <w:t xml:space="preserve"> </w:t>
      </w:r>
      <w:r>
        <w:t xml:space="preserve">uniformly illuminated circular aperture</w:t>
      </w:r>
      <w:r>
        <w:t xml:space="preserve">17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— the sustained force needed to impart 0.01 m s⁻¹ to a 1 km asteroid over a decade, against which the DART impactor’s demonstrated ~1.2 × 10⁷ N·s is the only flown calibration</w:t>
      </w:r>
      <w:r>
        <w:t xml:space="preserve">8</w:t>
      </w:r>
      <w:r>
        <w:t xml:space="preserve"> </w:t>
      </w:r>
      <w:r>
        <w:t xml:space="preserve">—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bookmarkEnd w:id="22"/>
    <w:bookmarkStart w:id="23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3"/>
    <w:bookmarkStart w:id="24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</w:t>
      </w:r>
      <w:r>
        <w:t xml:space="preserve">15</w:t>
      </w:r>
      <w:r>
        <w:t xml:space="preserve"> </w:t>
      </w:r>
      <w:r>
        <w:t xml:space="preserve">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6"/>
    <w:bookmarkStart w:id="36" w:name="methods"/>
    <w:p>
      <w:pPr>
        <w:pStyle w:val="Heading2"/>
      </w:pPr>
      <w:r>
        <w:t xml:space="preserve">Methods</w:t>
      </w:r>
    </w:p>
    <w:bookmarkStart w:id="27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7"/>
    <w:bookmarkStart w:id="28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8"/>
    <w:bookmarkStart w:id="29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9"/>
    <w:bookmarkStart w:id="30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</w:t>
      </w:r>
      <w:r>
        <w:t xml:space="preserve">20</w:t>
      </w:r>
      <w:r>
        <w:t xml:space="preserve"> </w:t>
      </w:r>
      <w:r>
        <w:t xml:space="preserve">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30"/>
    <w:bookmarkStart w:id="31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1"/>
    <w:bookmarkStart w:id="32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2"/>
    <w:bookmarkStart w:id="33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3"/>
    <w:bookmarkStart w:id="34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18,19,12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4"/>
    <w:bookmarkStart w:id="35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7"/>
    <w:bookmarkStart w:id="38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Nature</w:t>
      </w:r>
      <w:r>
        <w:t xml:space="preserve"> </w:t>
      </w:r>
      <w:r>
        <w:t xml:space="preserve">editorial policy on artificial intelligence: Large Language Models do not</w:t>
      </w:r>
      <w:r>
        <w:t xml:space="preserve"> </w:t>
      </w:r>
      <w:r>
        <w:t xml:space="preserve">satisfy authorship criteria, since authorship carries accountability that cannot be</w:t>
      </w:r>
      <w:r>
        <w:t xml:space="preserve"> </w:t>
      </w:r>
      <w:r>
        <w:t xml:space="preserve">assigned to an AI tool; their use must instead be documented. Springer Nature and</w:t>
      </w:r>
      <w:r>
        <w:t xml:space="preserve"> </w:t>
      </w:r>
      <w:r>
        <w:t xml:space="preserve">Science apply the same prohibition. https://www.nature.com/nature-portfolio/editorial-policies/ai</w:t>
      </w:r>
      <w:r>
        <w:t xml:space="preserve"> </w:t>
      </w:r>
      <w:r>
        <w:rPr>
          <w:i/>
          <w:iCs/>
        </w:rPr>
        <w:t xml:space="preserve">(Verified 2026-08-06.)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9"/>
    <w:bookmarkStart w:id="4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the open-access sources this framework is built on —</w:t>
      </w:r>
      <w:r>
        <w:t xml:space="preserve"> </w:t>
      </w:r>
      <w:r>
        <w:t xml:space="preserve">in particular Blanchet’s</w:t>
      </w:r>
      <w:r>
        <w:t xml:space="preserve"> </w:t>
      </w:r>
      <w:r>
        <w:rPr>
          <w:i/>
          <w:iCs/>
        </w:rPr>
        <w:t xml:space="preserve">Living Reviews</w:t>
      </w:r>
      <w:r>
        <w:t xml:space="preserve"> </w:t>
      </w:r>
      <w:r>
        <w:t xml:space="preserve">article, whose numbered equations made the</w:t>
      </w:r>
      <w:r>
        <w:t xml:space="preserve"> </w:t>
      </w:r>
      <w:r>
        <w:t xml:space="preserve">project’s citation discipline enforceable at all. A framework that requires every formula</w:t>
      </w:r>
      <w:r>
        <w:t xml:space="preserve"> </w:t>
      </w:r>
      <w:r>
        <w:t xml:space="preserve">to name a checkable equation can only exist where such sources are freely available.</w:t>
      </w:r>
    </w:p>
    <w:p>
      <w:pPr>
        <w:pStyle w:val="BodyText"/>
      </w:pPr>
      <w:r>
        <w:rPr>
          <w:i/>
          <w:iCs/>
        </w:rPr>
        <w:t xml:space="preserve">Institutional and individual acknowledgements to be added.</w:t>
      </w:r>
      <w:r>
        <w:t xml:space="preserve"> </w:t>
      </w:r>
      <w:r>
        <w:t xml:space="preserve">Per the README’s stated</w:t>
      </w:r>
      <w:r>
        <w:t xml:space="preserve"> </w:t>
      </w:r>
      <w:r>
        <w:t xml:space="preserve">intent, any assistance received from people or institutions with more formal training than</w:t>
      </w:r>
      <w:r>
        <w:t xml:space="preserve"> </w:t>
      </w:r>
      <w:r>
        <w:t xml:space="preserve">the author will be logged explicitly rather than absorbed into a general thank-you — the</w:t>
      </w:r>
      <w:r>
        <w:t xml:space="preserve"> </w:t>
      </w:r>
      <w:r>
        <w:t xml:space="preserve">degree of expert intervention required is itself one of this work’s reported quantities.</w:t>
      </w:r>
    </w:p>
    <w:bookmarkEnd w:id="40"/>
    <w:bookmarkStart w:id="41" w:name="author-contributions-1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Author contributions</w:t>
      </w:r>
      <w:r>
        <w:t xml:space="preserve"> </w:t>
      </w:r>
      <w:r>
        <w:t xml:space="preserve">following the author list, which states the CRediT roles and</w:t>
      </w:r>
      <w:r>
        <w:t xml:space="preserve"> </w:t>
      </w:r>
      <w:r>
        <w:t xml:space="preserve">the AI-assistance disclosure in full.</w:t>
      </w:r>
    </w:p>
    <w:bookmarkEnd w:id="41"/>
    <w:bookmarkStart w:id="4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financial interests. Two non-financial disclosures are</w:t>
      </w:r>
      <w:r>
        <w:t xml:space="preserve"> </w:t>
      </w:r>
      <w:r>
        <w:t xml:space="preserve">made in the interest of completeness: the software is released under Apache-2.0 with an</w:t>
      </w:r>
      <w:r>
        <w:t xml:space="preserve"> </w:t>
      </w:r>
      <w:r>
        <w:rPr>
          <w:b/>
          <w:bCs/>
        </w:rPr>
        <w:t xml:space="preserve">explicit patent grant</w:t>
      </w:r>
      <w:r>
        <w:t xml:space="preserve"> </w:t>
      </w:r>
      <w:r>
        <w:t xml:space="preserve">(see Code availability), which is a deliberate choice to let</w:t>
      </w:r>
      <w:r>
        <w:t xml:space="preserve"> </w:t>
      </w:r>
      <w:r>
        <w:t xml:space="preserve">outside groups develop hardware against the framework without exposure; and the work was</w:t>
      </w:r>
      <w:r>
        <w:t xml:space="preserve"> </w:t>
      </w:r>
      <w:r>
        <w:t xml:space="preserve">produced with extensive commercial AI assistance, disclosed with per-model commit counts</w:t>
      </w:r>
      <w:r>
        <w:t xml:space="preserve"> </w:t>
      </w:r>
      <w:r>
        <w:t xml:space="preserve">under Author contributions.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standard end-of-paper declarations. Nobody stands to profit</w:t>
      </w:r>
      <w:r>
        <w:t xml:space="preserve"> </w:t>
      </w:r>
      <w:r>
        <w:t xml:space="preserve">in a way that could bias the results. Two things are disclosed anyway because they could</w:t>
      </w:r>
      <w:r>
        <w:t xml:space="preserve"> </w:t>
      </w:r>
      <w:r>
        <w:t xml:space="preserve">reasonably be asked about: the software licence deliberately gives away patent rights so</w:t>
      </w:r>
      <w:r>
        <w:t xml:space="preserve"> </w:t>
      </w:r>
      <w:r>
        <w:t xml:space="preserve">that others can build hardware freely, and the work leaned heavily on commercial AI tools,</w:t>
      </w:r>
      <w:r>
        <w:t xml:space="preserve"> </w:t>
      </w:r>
      <w:r>
        <w:t xml:space="preserve">which we quantify rather than gesture at.</w:t>
      </w:r>
    </w:p>
    <w:p>
      <w:r>
        <w:pict>
          <v:rect style="width:0;height:1.5pt" o:hralign="center" o:hrstd="t" o:hr="t"/>
        </w:pict>
      </w:r>
    </w:p>
    <w:bookmarkEnd w:id="42"/>
    <w:bookmarkStart w:id="69" w:name="display-items"/>
    <w:p>
      <w:pPr>
        <w:pStyle w:val="Heading2"/>
      </w:pPr>
      <w:r>
        <w:t xml:space="preserve">Display items</w:t>
      </w:r>
    </w:p>
    <w:bookmarkStart w:id="43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3"/>
    <w:bookmarkStart w:id="44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4"/>
    <w:bookmarkStart w:id="45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5"/>
    <w:bookmarkStart w:id="67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rPr>
          <w:i/>
          <w:iCs/>
        </w:rPr>
        <w:t xml:space="preserve">Figures 3–7 are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tools/run_campaign.py</w:t>
      </w:r>
      <w:r>
        <w:rPr>
          <w:i/>
          <w:iCs/>
        </w:rPr>
        <w:t xml:space="preserve">; Figures 1–2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tools/render_mermaid.py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Explanatory prose lives in these legends rather than inside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figures</w:t>
      </w:r>
      <w:r>
        <w:rPr>
          <w:i/>
          <w:iCs/>
        </w:rPr>
        <w:t xml:space="preserve">, so each panel carries only feature labels — a rule line, a ringed point, an axis</w:t>
      </w:r>
      <w:r>
        <w:rPr>
          <w:i/>
          <w:iCs/>
        </w:rPr>
        <w:t xml:space="preserve"> </w:t>
      </w:r>
      <w:r>
        <w:rPr>
          <w:i/>
          <w:iCs/>
        </w:rPr>
        <w:t xml:space="preserve">marker. A figure that lectures is a figure whose caption was not trusted to do its job. All</w:t>
      </w:r>
      <w:r>
        <w:rPr>
          <w:i/>
          <w:iCs/>
        </w:rPr>
        <w:t xml:space="preserve"> </w:t>
      </w:r>
      <w:r>
        <w:rPr>
          <w:i/>
          <w:iCs/>
        </w:rPr>
        <w:t xml:space="preserve">five data figures share one colourblind-safe palette (Okabe-Ito), in which black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the correct prediction and vermillion always the spin-1 or naive one.</w:t>
      </w:r>
    </w:p>
    <w:p>
      <w:pPr>
        <w:pStyle w:val="BodyText"/>
      </w:pPr>
      <w:r>
        <w:drawing>
          <wp:inline>
            <wp:extent cx="5334000" cy="535441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ocs/paper/campaign/fig1_architectur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paper/campaign/fig2_provena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5519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ocs/paper/campaign/fig3_mismatc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(</w:t>
      </w:r>
      <w:r>
        <w:rPr>
          <w:b/>
          <w:bCs/>
        </w:rPr>
        <w:t xml:space="preserve">ringed</w:t>
      </w:r>
      <w:r>
        <w:t xml:space="preserve">) is complete at every N</w:t>
      </w:r>
      <w:r>
        <w:t xml:space="preserve"> </w:t>
      </w:r>
      <w:r>
        <w:t xml:space="preserve">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77963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ocs/paper/campaign/fig4_alignmen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paper/campaign/fig5_degeneracy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91615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ocs/paper/campaign/fig6_focu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272842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ocs/paper/campaign/fig7_wall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67"/>
    <w:bookmarkStart w:id="68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3–7.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70"/>
    <w:bookmarkStart w:id="71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No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CITATION.cff</w:t>
      </w:r>
      <w:r>
        <w:rPr>
          <w:strike/>
        </w:rPr>
        <w:t xml:space="preserve">, no author list, no CRediT table.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 2026-08-06.</w:t>
      </w:r>
      <w:r>
        <w:t xml:space="preserve"> </w:t>
      </w:r>
      <w:r>
        <w:t xml:space="preserve">Author</w:t>
      </w:r>
      <w:r>
        <w:t xml:space="preserve"> </w:t>
      </w:r>
      <w:r>
        <w:t xml:space="preserve">list, CRediT statement and a schema-validated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are in place, with the</w:t>
      </w:r>
      <w:r>
        <w:t xml:space="preserve"> </w:t>
      </w:r>
      <w:r>
        <w:t xml:space="preserve">AI-assistance disclosure carrying per-model commit counts (35 Opus 5, 20 Sonnet 5, of 61</w:t>
      </w:r>
      <w:r>
        <w:t xml:space="preserve"> </w:t>
      </w:r>
      <w:r>
        <w:t xml:space="preserve">commits) and pointing at the git trailers as the authoritative record.</w:t>
      </w:r>
      <w:r>
        <w:t xml:space="preserve"> </w:t>
      </w:r>
      <w:r>
        <w:rPr>
          <w:b/>
          <w:bCs/>
        </w:rPr>
        <w:t xml:space="preserve">One item</w:t>
      </w:r>
      <w:r>
        <w:rPr>
          <w:b/>
          <w:bCs/>
        </w:rPr>
        <w:t xml:space="preserve"> </w:t>
      </w:r>
      <w:r>
        <w:rPr>
          <w:b/>
          <w:bCs/>
        </w:rPr>
        <w:t xml:space="preserve">remains: an ORCID</w:t>
      </w:r>
      <w:r>
        <w:t xml:space="preserve">, which is free to register and is the only durable identifier for a</w:t>
      </w:r>
      <w:r>
        <w:t xml:space="preserve"> </w:t>
      </w:r>
      <w:r>
        <w:t xml:space="preserve">project meant to outlive its authors.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22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Reference 8 (DART) needs volume/page verification.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Verified 2026-08-03</w:t>
      </w:r>
      <w:r>
        <w:t xml:space="preserve"> </w:t>
      </w:r>
      <w:r>
        <w:t xml:space="preserve">against Crossref (doi:10.1038/s41586-023-05810-5; British</w:t>
      </w:r>
      <w:r>
        <w:t xml:space="preserve"> </w:t>
      </w:r>
      <w:r>
        <w:t xml:space="preserve">“defence”</w:t>
      </w:r>
      <w:r>
        <w:t xml:space="preserve"> </w:t>
      </w:r>
      <w:r>
        <w:t xml:space="preserve">as published).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Ten references are listed but never cited in the text.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Resolved 2026-08-06.</w:t>
      </w:r>
      <w:r>
        <w:t xml:space="preserve"> </w:t>
      </w:r>
      <w:r>
        <w:t xml:space="preserve">Seven were genuinely relied upon and are now cited where the manuscript uses them:</w:t>
      </w:r>
      <w:r>
        <w:t xml:space="preserve"> </w:t>
      </w:r>
      <w:r>
        <w:t xml:space="preserve">Hinderer and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 R3’s Love-number model, Thorne 1980 at the Discussion’s</w:t>
      </w:r>
      <w:r>
        <w:t xml:space="preserve"> </w:t>
      </w:r>
      <w:r>
        <w:t xml:space="preserve">“likely primary source”</w:t>
      </w:r>
      <w:r>
        <w:t xml:space="preserve">, Orfanidis where the spin-1 baseline is named, Born &amp; Wolf at</w:t>
      </w:r>
      <w:r>
        <w:t xml:space="preserve"> </w:t>
      </w:r>
      <w:r>
        <w:t xml:space="preserve">R5’s Airy-limited spot size, Zel’dovich &amp; Polnarev and Braginsky &amp; Thorne alongside</w:t>
      </w:r>
      <w:r>
        <w:t xml:space="preserve"> </w:t>
      </w:r>
      <w:r>
        <w:t xml:space="preserve">Favata for linear memory, DART at the ~43 N requirement it calibrates, and Fitzpatrick</w:t>
      </w:r>
      <w:r>
        <w:t xml:space="preserve"> </w:t>
      </w:r>
      <w:r>
        <w:t xml:space="preserve">at the Maclaurin-oblateness mechanism.</w:t>
      </w:r>
      <w:r>
        <w:t xml:space="preserve"> </w:t>
      </w:r>
      <w:r>
        <w:rPr>
          <w:b/>
          <w:bCs/>
        </w:rPr>
        <w:t xml:space="preserve">Three were removed</w:t>
      </w:r>
      <w:r>
        <w:t xml:space="preserve"> </w:t>
      </w:r>
      <w:r>
        <w:t xml:space="preserve">— MTW (superseded as the</w:t>
      </w:r>
      <w:r>
        <w:t xml:space="preserve"> </w:t>
      </w:r>
      <w:r>
        <w:t xml:space="preserve">e^(2iψ) source by ref. 21), Dolph and Taylor (amplitude tapering, which the manuscript</w:t>
      </w:r>
      <w:r>
        <w:t xml:space="preserve"> </w:t>
      </w:r>
      <w:r>
        <w:t xml:space="preserve">never discusses) — because they belong to the</w:t>
      </w:r>
      <w:r>
        <w:t xml:space="preserve"> </w:t>
      </w:r>
      <w:r>
        <w:rPr>
          <w:i/>
          <w:iCs/>
        </w:rPr>
        <w:t xml:space="preserve">codebase’s</w:t>
      </w:r>
      <w:r>
        <w:t xml:space="preserve"> </w:t>
      </w:r>
      <w:r>
        <w:t xml:space="preserve">equation registry in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, not to this reference list. The list renumbered 26 → 23, and every</w:t>
      </w:r>
      <w:r>
        <w:t xml:space="preserve"> </w:t>
      </w:r>
      <w:r>
        <w:t xml:space="preserve">reference is now cited exactly where its result 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Figures are draft-quality.</w:t>
      </w:r>
      <w:r>
        <w:t xml:space="preserve"> </w:t>
      </w:r>
      <w:r>
        <w:t xml:space="preserve">Legible, correct, and regenerable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tools/run_campaign.py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tools/render_mermaid.py</w:t>
      </w:r>
      <w:r>
        <w:t xml:space="preserve">), but the author intends to redraw</w:t>
      </w:r>
      <w:r>
        <w:t xml:space="preserve"> </w:t>
      </w:r>
      <w:r>
        <w:t xml:space="preserve">them for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Eight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2026-08-07T01:48:42Z</dcterms:created>
  <dcterms:modified xsi:type="dcterms:W3CDTF">2026-08-07T01:48:42Z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