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Xb98581eb0bdff07834771ac000fb86321e75018"/>
    <w:p>
      <w:pPr>
        <w:pStyle w:val="Heading1"/>
      </w:pPr>
      <w:r>
        <w:t xml:space="preserve">Threat-population literature survey — inputs for the deflection tradespace section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verified 2026-08-08 — the batched</w:t>
      </w:r>
      <w:r>
        <w:t xml:space="preserve"> </w:t>
      </w:r>
      <w:r>
        <w:rPr>
          <w:rStyle w:val="VerbatimChar"/>
        </w:rPr>
        <w:t xml:space="preserve">researcher</w:t>
      </w:r>
      <w:r>
        <w:t xml:space="preserve"> </w:t>
      </w:r>
      <w:r>
        <w:t xml:space="preserve">pass ran the same day (6</w:t>
      </w:r>
      <w:r>
        <w:t xml:space="preserve"> </w:t>
      </w:r>
      <w:r>
        <w:t xml:space="preserve">VERIFIED, 4 VERIFIED-ALT, 1 carve-out, 0 firewall flags), and the resulting sprint is</w:t>
      </w:r>
      <w:r>
        <w:t xml:space="preserve"> </w:t>
      </w:r>
      <w:r>
        <w:rPr>
          <w:rStyle w:val="VerbatimChar"/>
          <w:b/>
          <w:bCs/>
        </w:rPr>
        <w:t xml:space="preserve">docs/BACKLOG.md</w:t>
      </w:r>
      <w:r>
        <w:rPr>
          <w:b/>
          <w:bCs/>
        </w:rPr>
        <w:t xml:space="preserve"> </w:t>
      </w:r>
      <w:r>
        <w:rPr>
          <w:b/>
          <w:bCs/>
        </w:rPr>
        <w:t xml:space="preserve">Sprint 14</w:t>
      </w:r>
      <w:r>
        <w:t xml:space="preserve">, whose header carries the authoritative per-source</w:t>
      </w:r>
      <w:r>
        <w:t xml:space="preserve"> </w:t>
      </w:r>
      <w:r>
        <w:t xml:space="preserve">verification block. Where this file and the Sprint 14 header disagree, the sprint header</w:t>
      </w:r>
      <w:r>
        <w:t xml:space="preserve"> </w:t>
      </w:r>
      <w:r>
        <w:t xml:space="preserve">wins. Key outcomes folded in below: Bennu’s mass/density cite</w:t>
      </w:r>
      <w:r>
        <w:t xml:space="preserve"> </w:t>
      </w:r>
      <w:r>
        <w:rPr>
          <w:b/>
          <w:bCs/>
        </w:rPr>
        <w:t xml:space="preserve">Scheeres et al.,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Nature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Astron.</w:t>
      </w:r>
      <w:r>
        <w:rPr>
          <w:b/>
          <w:bCs/>
        </w:rPr>
        <w:t xml:space="preserve"> </w:t>
      </w:r>
      <w:r>
        <w:rPr>
          <w:b/>
          <w:bCs/>
        </w:rPr>
        <w:t xml:space="preserve">3:352 (2019)</w:t>
      </w:r>
      <w:r>
        <w:t xml:space="preserve"> </w:t>
      </w:r>
      <w:r>
        <w:t xml:space="preserve">(not Lauretta 568:55 — wrong paper for that claim); the secular</w:t>
      </w:r>
      <w:r>
        <w:t xml:space="preserve"> </w:t>
      </w:r>
      <w:r>
        <w:t xml:space="preserve">deflection amplification is</w:t>
      </w:r>
      <w:r>
        <w:t xml:space="preserve"> </w:t>
      </w:r>
      <w:r>
        <w:rPr>
          <w:b/>
          <w:bCs/>
        </w:rPr>
        <w:t xml:space="preserve">Izzo, AAS 05-141 (2005), eqs. (1)–(3)</w:t>
      </w:r>
      <w:r>
        <w:t xml:space="preserve"> </w:t>
      </w:r>
      <w:r>
        <w:t xml:space="preserve">(open ESA PDF;</w:t>
      </w:r>
      <w:r>
        <w:t xml:space="preserve"> </w:t>
      </w:r>
      <w:r>
        <w:t xml:space="preserve">equation numbers confirmed by eye; the PDF’s stale</w:t>
      </w:r>
      <w:r>
        <w:t xml:space="preserve"> </w:t>
      </w:r>
      <w:r>
        <w:rPr>
          <w:i/>
          <w:iCs/>
        </w:rPr>
        <w:t xml:space="preserve">metadata</w:t>
      </w:r>
      <w:r>
        <w:t xml:space="preserve"> </w:t>
      </w:r>
      <w:r>
        <w:t xml:space="preserve">title mentions a debris</w:t>
      </w:r>
      <w:r>
        <w:t xml:space="preserve"> </w:t>
      </w:r>
      <w:r>
        <w:t xml:space="preserve">cloud — template reuse, content is correct); Greenstreet et al. 2020 medians are</w:t>
      </w:r>
      <w:r>
        <w:t xml:space="preserve"> </w:t>
      </w:r>
      <w:r>
        <w:rPr>
          <w:b/>
          <w:bCs/>
        </w:rPr>
        <w:t xml:space="preserve">1.4/0.76/0.55/0.46/0.38 cm/s at 10/20/30/40/50 yr</w:t>
      </w:r>
      <w:r>
        <w:t xml:space="preserve"> </w:t>
      </w:r>
      <w:r>
        <w:t xml:space="preserve">for a 1 R⊕ miss; the SDT 2017</w:t>
      </w:r>
      <w:r>
        <w:t xml:space="preserve"> </w:t>
      </w:r>
      <w:r>
        <w:t xml:space="preserve">2.6 g/cm³ density stayed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and is superseded by the two measured densities</w:t>
      </w:r>
      <w:r>
        <w:t xml:space="preserve"> </w:t>
      </w:r>
      <w:r>
        <w:t xml:space="preserve">(Bennu 1190, Didymos 2400 kg/m³). None of the sources trace to HFGW/Baker literature</w:t>
      </w:r>
      <w:r>
        <w:t xml:space="preserve"> </w:t>
      </w:r>
      <w:r>
        <w:t xml:space="preserve">(epistemic firewall checked).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the planned Nature-paper section explores the tradespace among</w:t>
      </w:r>
      <w:r>
        <w:t xml:space="preserve"> </w:t>
      </w:r>
      <w:r>
        <w:t xml:space="preserve">(a) detection distance, (b) closure velocity, (c) object mass, and (d) required</w:t>
      </w:r>
      <w:r>
        <w:t xml:space="preserve"> </w:t>
      </w:r>
      <w:r>
        <w:t xml:space="preserve">gravity-spike strength to move an Earth-impacting trajectory to a miss, within the</w:t>
      </w:r>
      <w:r>
        <w:t xml:space="preserve"> </w:t>
      </w:r>
      <w:r>
        <w:t xml:space="preserve">lead time detection allows. This file records what the planetary-defense literature</w:t>
      </w:r>
      <w:r>
        <w:t xml:space="preserve"> </w:t>
      </w:r>
      <w:r>
        <w:t xml:space="preserve">assumes for (b) and (c), and what it already knows about (d) as a function of time.</w:t>
      </w:r>
    </w:p>
    <w:p>
      <w:r>
        <w:pict>
          <v:rect style="width:0;height:1.5pt" o:hralign="center" o:hrstd="t" o:hr="t"/>
        </w:pict>
      </w:r>
    </w:p>
    <w:bookmarkStart w:id="9" w:name="velocity-assumptions-in-the-literature"/>
    <w:p>
      <w:pPr>
        <w:pStyle w:val="Heading2"/>
      </w:pPr>
      <w:r>
        <w:t xml:space="preserve">1. Velocity assumptions in the literature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Earth-impact speed, NEA population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~20.6 km/s</w:t>
            </w:r>
          </w:p>
        </w:tc>
        <w:tc>
          <w:tcPr/>
          <w:p>
            <w:pPr>
              <w:pStyle w:val="Compact"/>
            </w:pPr>
            <w:r>
              <w:t xml:space="preserve">Greenstreet NEO orbital model (Greenstreet, Ngo &amp; Gladman 2012,</w:t>
            </w:r>
            <w:r>
              <w:t xml:space="preserve"> </w:t>
            </w:r>
            <w:r>
              <w:rPr>
                <w:i/>
                <w:iCs/>
              </w:rPr>
              <w:t xml:space="preserve">Icarus</w:t>
            </w:r>
            <w:r>
              <w:t xml:space="preserve"> </w:t>
            </w:r>
            <w:r>
              <w:t xml:space="preserve">217:355), as used in impact-speed distributions</w:t>
            </w:r>
          </w:p>
        </w:tc>
        <w:tc>
          <w:tcPr/>
          <w:p>
            <w:pPr>
              <w:pStyle w:val="Compact"/>
            </w:pPr>
            <w:r>
              <w:t xml:space="preserve">NEEDS-VERIFY (exact figure/table)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 of impact-speed distribution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 km/s</w:t>
            </w:r>
            <w:r>
              <w:t xml:space="preserve">, sharp peak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NEEDS-VERIFY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 of distribution</w:t>
            </w:r>
          </w:p>
        </w:tc>
        <w:tc>
          <w:tcPr/>
          <w:p>
            <w:pPr>
              <w:pStyle w:val="Compact"/>
            </w:pPr>
            <w:r>
              <w:t xml:space="preserve">out to</w:t>
            </w:r>
            <w:r>
              <w:t xml:space="preserve"> </w:t>
            </w:r>
            <w:r>
              <w:rPr>
                <w:b/>
                <w:bCs/>
              </w:rPr>
              <w:t xml:space="preserve">~45 km/s</w:t>
            </w:r>
            <w:r>
              <w:t xml:space="preserve"> </w:t>
            </w:r>
            <w:r>
              <w:t xml:space="preserve">(asteroids)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NEEDS-VERIFY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 (any impactor)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11.2 km/s</w:t>
            </w:r>
            <w:r>
              <w:t xml:space="preserve"> </w:t>
            </w:r>
            <w:r>
              <w:t xml:space="preserve">— Earth escape speed; gravitational focusing forbids slower impacts</w:t>
            </w:r>
          </w:p>
        </w:tc>
        <w:tc>
          <w:tcPr/>
          <w:p>
            <w:pPr>
              <w:pStyle w:val="Compact"/>
            </w:pPr>
            <w:r>
              <w:t xml:space="preserve">elementary; state without citation or cite a textbook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Ceiling (long-period comets)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~72 km/s</w:t>
            </w:r>
            <w:r>
              <w:t xml:space="preserve"> </w:t>
            </w:r>
            <w:r>
              <w:t xml:space="preserve">— retrograde parabolic at 1 AU</w:t>
            </w:r>
          </w:p>
        </w:tc>
        <w:tc>
          <w:tcPr/>
          <w:p>
            <w:pPr>
              <w:pStyle w:val="Compact"/>
            </w:pPr>
            <w:r>
              <w:t xml:space="preserve">standard celestial mechanics; comet-threat discussion in</w:t>
            </w:r>
            <w:r>
              <w:t xml:space="preserve"> </w:t>
            </w:r>
            <w:r>
              <w:rPr>
                <w:i/>
                <w:iCs/>
              </w:rPr>
              <w:t xml:space="preserve">Acta Astronautica</w:t>
            </w:r>
            <w:r>
              <w:t xml:space="preserve"> </w:t>
            </w:r>
            <w:r>
              <w:t xml:space="preserve">2018 (</w:t>
            </w:r>
            <w:r>
              <w:t xml:space="preserve">“Defending the earth from long-period comets and sneaky asteroids”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NEEDS-VERIFY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small-impactor distribution</w:t>
            </w:r>
          </w:p>
        </w:tc>
        <w:tc>
          <w:tcPr/>
          <w:p>
            <w:pPr>
              <w:pStyle w:val="Compact"/>
            </w:pPr>
            <w:r>
              <w:t xml:space="preserve">consistent with ECSS sporadic-meteoroid standard; debiased via large fireballs</w:t>
            </w:r>
          </w:p>
        </w:tc>
        <w:tc>
          <w:tcPr/>
          <w:p>
            <w:pPr>
              <w:pStyle w:val="Compact"/>
            </w:pPr>
            <w:r>
              <w:t xml:space="preserve">Drolshagen et al. 2020,</w:t>
            </w:r>
            <w:r>
              <w:t xml:space="preserve"> </w:t>
            </w:r>
            <w:r>
              <w:rPr>
                <w:i/>
                <w:iCs/>
              </w:rPr>
              <w:t xml:space="preserve">Planet. Space Sci.</w:t>
            </w:r>
            <w:r>
              <w:t xml:space="preserve"> </w:t>
            </w:r>
            <w:r>
              <w:t xml:space="preserve">184:104869, arXiv:2011.07775</w:t>
            </w:r>
          </w:p>
        </w:tc>
        <w:tc>
          <w:tcPr/>
          <w:p>
            <w:pPr>
              <w:pStyle w:val="Compact"/>
            </w:pPr>
            <w:r>
              <w:t xml:space="preserve">VERIFIED (abstract level)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Debiased NEO orbit/size model (modern successor)</w:t>
            </w:r>
          </w:p>
        </w:tc>
        <w:tc>
          <w:tcPr/>
          <w:p>
            <w:pPr>
              <w:pStyle w:val="Compact"/>
            </w:pPr>
            <w:r>
              <w:t xml:space="preserve">Granvik et al. 2018,</w:t>
            </w:r>
            <w:r>
              <w:t xml:space="preserve"> </w:t>
            </w:r>
            <w:r>
              <w:rPr>
                <w:i/>
                <w:iCs/>
              </w:rPr>
              <w:t xml:space="preserve">Icarus</w:t>
            </w:r>
            <w:r>
              <w:t xml:space="preserve"> </w:t>
            </w:r>
            <w:r>
              <w:t xml:space="preserve">312:181 (open reprint); NEOMOD, arXiv:2306.09521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available if reviewers want the newer model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Planning value used across the field: 20 km/s.</w:t>
      </w:r>
      <w:r>
        <w:t xml:space="preserve"> </w:t>
      </w:r>
      <w:r>
        <w:t xml:space="preserve">Chelyabinsk entered at 19 km/s —</w:t>
      </w:r>
      <w:r>
        <w:t xml:space="preserve"> </w:t>
      </w:r>
      <w:r>
        <w:t xml:space="preserve">the round number is empirically honest.</w:t>
      </w:r>
    </w:p>
    <w:bookmarkEnd w:id="9"/>
    <w:bookmarkStart w:id="10" w:name="mass-size-assumptions-in-the-literature"/>
    <w:p>
      <w:pPr>
        <w:pStyle w:val="Heading2"/>
      </w:pPr>
      <w:r>
        <w:t xml:space="preserve">2. Mass / size assumptions in the literature</w:t>
      </w:r>
    </w:p>
    <w:p>
      <w:pPr>
        <w:pStyle w:val="FirstParagraph"/>
      </w:pPr>
      <w:r>
        <w:t xml:space="preserve">Survey policy and population (sets which masses are</w:t>
      </w:r>
      <w:r>
        <w:t xml:space="preserve"> </w:t>
      </w:r>
      <w:r>
        <w:rPr>
          <w:i/>
          <w:iCs/>
        </w:rPr>
        <w:t xml:space="preserve">plausible</w:t>
      </w:r>
      <w:r>
        <w:t xml:space="preserve"> </w:t>
      </w:r>
      <w:r>
        <w:t xml:space="preserve">threats):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140 m</w:t>
      </w:r>
      <w:r>
        <w:t xml:space="preserve"> </w:t>
      </w:r>
      <w:r>
        <w:t xml:space="preserve">is the statutory survey threshold (George E. Brown Act: find 90% of NEAs</w:t>
      </w:r>
      <w:r>
        <w:t xml:space="preserve"> </w:t>
      </w:r>
      <w:r>
        <w:t xml:space="preserve">&gt; 140 m). The 2017 NEO Science Definition Team report (Stokes et al. 2017, CNEOS,</w:t>
      </w:r>
      <w:r>
        <w:t xml:space="preserve"> </w:t>
      </w:r>
      <w:r>
        <w:rPr>
          <w:rStyle w:val="VerbatimChar"/>
        </w:rPr>
        <w:t xml:space="preserve">https://cneos.jpl.nasa.gov/doc/2017_neo_sdt_final_e-version.pdf</w:t>
      </w:r>
      <w:r>
        <w:t xml:space="preserve">) estimates</w:t>
      </w:r>
      <w:r>
        <w:t xml:space="preserve"> </w:t>
      </w:r>
      <w:r>
        <w:rPr>
          <w:b/>
          <w:bCs/>
        </w:rPr>
        <w:t xml:space="preserve">~25,000 NEAs &gt; 140 m</w:t>
      </w:r>
      <w:r>
        <w:t xml:space="preserve">, completeness ~30% at the time; ~1,000 NEAs &gt; 1 km with</w:t>
      </w:r>
      <w:r>
        <w:t xml:space="preserve"> </w:t>
      </w:r>
      <w:r>
        <w:t xml:space="preserve">~95% found. Standard density assumption in that report is</w:t>
      </w:r>
      <w:r>
        <w:t xml:space="preserve"> </w:t>
      </w:r>
      <w:r>
        <w:rPr>
          <w:b/>
          <w:bCs/>
        </w:rPr>
        <w:t xml:space="preserve">2.6 g/cm³</w:t>
      </w:r>
      <w:r>
        <w:t xml:space="preserve"> </w:t>
      </w:r>
      <w:r>
        <w:t xml:space="preserve">(stony).</w:t>
      </w:r>
      <w:r>
        <w:t xml:space="preserve"> </w:t>
      </w:r>
      <w:r>
        <w:t xml:space="preserve">PDF exceeds fetch limit — NEEDS-VERIFY against the report’s own tables for the</w:t>
      </w:r>
      <w:r>
        <w:t xml:space="preserve"> </w:t>
      </w:r>
      <w:r>
        <w:t xml:space="preserve">exact density/velocity assumptions before quoting.</w:t>
      </w:r>
    </w:p>
    <w:p>
      <w:pPr>
        <w:pStyle w:val="Compact"/>
        <w:numPr>
          <w:ilvl w:val="0"/>
          <w:numId w:val="1001"/>
        </w:numPr>
      </w:pPr>
      <w:r>
        <w:t xml:space="preserve">Size–frequency is a steep power law: each factor-of-10 in diameter is roughly a</w:t>
      </w:r>
      <w:r>
        <w:t xml:space="preserve"> </w:t>
      </w:r>
      <w:r>
        <w:t xml:space="preserve">factor-of-1000 in mass and a large drop in frequency (impact interval: ~60 yr for</w:t>
      </w:r>
      <w:r>
        <w:t xml:space="preserve"> </w:t>
      </w:r>
      <w:r>
        <w:t xml:space="preserve">20 m, ~10⁴ yr for 140 m-class regional events, ~5×10⁵ yr for 1 km, ~10⁸ yr for 10 km).</w:t>
      </w:r>
    </w:p>
    <w:p>
      <w:pPr>
        <w:pStyle w:val="FirstParagraph"/>
      </w:pPr>
      <w:r>
        <w:t xml:space="preserve">Mass anchors (measured or well-constrained real objects — use these as the mass axis</w:t>
      </w:r>
      <w:r>
        <w:t xml:space="preserve"> </w:t>
      </w:r>
      <w:r>
        <w:t xml:space="preserve">tick marks in the tradespace figure):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Diameter</w:t>
            </w:r>
          </w:p>
        </w:tc>
        <w:tc>
          <w:tcPr/>
          <w:p>
            <w:pPr>
              <w:pStyle w:val="Compact"/>
            </w:pPr>
            <w:r>
              <w:t xml:space="preserve">Mass</w:t>
            </w:r>
          </w:p>
        </w:tc>
        <w:tc>
          <w:tcPr/>
          <w:p>
            <w:pPr>
              <w:pStyle w:val="Compact"/>
            </w:pPr>
            <w:r>
              <w:t xml:space="preserve">Velocity note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Chelyabinsk (2013)</w:t>
            </w:r>
          </w:p>
        </w:tc>
        <w:tc>
          <w:tcPr/>
          <w:p>
            <w:pPr>
              <w:pStyle w:val="Compact"/>
            </w:pPr>
            <w:r>
              <w:t xml:space="preserve">~20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~1.2×10⁷ kg</w:t>
            </w:r>
          </w:p>
        </w:tc>
        <w:tc>
          <w:tcPr/>
          <w:p>
            <w:pPr>
              <w:pStyle w:val="Compact"/>
            </w:pPr>
            <w:r>
              <w:t xml:space="preserve">19 km/s entry; ~500 kt;</w:t>
            </w:r>
            <w:r>
              <w:t xml:space="preserve"> </w:t>
            </w:r>
            <w:r>
              <w:rPr>
                <w:b/>
                <w:bCs/>
              </w:rPr>
              <w:t xml:space="preserve">zero warning</w:t>
            </w:r>
            <w:r>
              <w:t xml:space="preserve"> </w:t>
            </w:r>
            <w:r>
              <w:t xml:space="preserve">(approached from sunward sky)</w:t>
            </w:r>
          </w:p>
        </w:tc>
        <w:tc>
          <w:tcPr/>
          <w:p>
            <w:pPr>
              <w:pStyle w:val="Compact"/>
            </w:pPr>
            <w:r>
              <w:t xml:space="preserve">Brown et al. 2013,</w:t>
            </w:r>
            <w:r>
              <w:t xml:space="preserve"> </w:t>
            </w:r>
            <w:r>
              <w:rPr>
                <w:i/>
                <w:iCs/>
              </w:rPr>
              <w:t xml:space="preserve">Nature</w:t>
            </w:r>
            <w:r>
              <w:t xml:space="preserve"> </w:t>
            </w:r>
            <w:r>
              <w:t xml:space="preserve">503:238; Popova et al. 2013,</w:t>
            </w:r>
            <w:r>
              <w:t xml:space="preserve"> </w:t>
            </w:r>
            <w:r>
              <w:rPr>
                <w:i/>
                <w:iCs/>
              </w:rPr>
              <w:t xml:space="preserve">Science</w:t>
            </w:r>
            <w:r>
              <w:t xml:space="preserve"> </w:t>
            </w:r>
            <w:r>
              <w:t xml:space="preserve">342:1069</w:t>
            </w:r>
          </w:p>
        </w:tc>
        <w:tc>
          <w:tcPr/>
          <w:p>
            <w:pPr>
              <w:pStyle w:val="Compact"/>
            </w:pPr>
            <w:r>
              <w:t xml:space="preserve">NEEDS-VERIFY (exact mass)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2008 TC3</w:t>
            </w:r>
          </w:p>
        </w:tc>
        <w:tc>
          <w:tcPr/>
          <w:p>
            <w:pPr>
              <w:pStyle w:val="Compact"/>
            </w:pPr>
            <w:r>
              <w:t xml:space="preserve">~4 m</w:t>
            </w:r>
          </w:p>
        </w:tc>
        <w:tc>
          <w:tcPr/>
          <w:p>
            <w:pPr>
              <w:pStyle w:val="Compact"/>
            </w:pPr>
            <w:r>
              <w:t xml:space="preserve">~8×10⁴ kg</w:t>
            </w:r>
          </w:p>
        </w:tc>
        <w:tc>
          <w:tcPr/>
          <w:p>
            <w:pPr>
              <w:pStyle w:val="Compact"/>
            </w:pPr>
            <w:r>
              <w:t xml:space="preserve">discovered</w:t>
            </w:r>
            <w:r>
              <w:t xml:space="preserve"> </w:t>
            </w:r>
            <w:r>
              <w:rPr>
                <w:b/>
                <w:bCs/>
              </w:rPr>
              <w:t xml:space="preserve">19 h</w:t>
            </w:r>
            <w:r>
              <w:t xml:space="preserve"> </w:t>
            </w:r>
            <w:r>
              <w:t xml:space="preserve">before impact</w:t>
            </w:r>
          </w:p>
        </w:tc>
        <w:tc>
          <w:tcPr/>
          <w:p>
            <w:pPr>
              <w:pStyle w:val="Compact"/>
            </w:pPr>
            <w:r>
              <w:t xml:space="preserve">Jenniskens et al. 2009,</w:t>
            </w:r>
            <w:r>
              <w:t xml:space="preserve"> </w:t>
            </w:r>
            <w:r>
              <w:rPr>
                <w:i/>
                <w:iCs/>
              </w:rPr>
              <w:t xml:space="preserve">Nature</w:t>
            </w:r>
            <w:r>
              <w:t xml:space="preserve"> </w:t>
            </w:r>
            <w:r>
              <w:t xml:space="preserve">458:485</w:t>
            </w:r>
          </w:p>
        </w:tc>
        <w:tc>
          <w:tcPr/>
          <w:p>
            <w:pPr>
              <w:pStyle w:val="Compact"/>
            </w:pPr>
            <w:r>
              <w:t xml:space="preserve">NEEDS-VERIFY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 OK</w:t>
            </w:r>
          </w:p>
        </w:tc>
        <w:tc>
          <w:tcPr/>
          <w:p>
            <w:pPr>
              <w:pStyle w:val="Compact"/>
            </w:pPr>
            <w:r>
              <w:t xml:space="preserve">~60–130 m</w:t>
            </w:r>
          </w:p>
        </w:tc>
        <w:tc>
          <w:tcPr/>
          <w:p>
            <w:pPr>
              <w:pStyle w:val="Compact"/>
            </w:pPr>
            <w:r>
              <w:t xml:space="preserve">~10⁹–10¹⁰ kg</w:t>
            </w:r>
          </w:p>
        </w:tc>
        <w:tc>
          <w:tcPr/>
          <w:p>
            <w:pPr>
              <w:pStyle w:val="Compact"/>
            </w:pPr>
            <w:r>
              <w:t xml:space="preserve">0.19 lunar distances miss,</w:t>
            </w:r>
            <w:r>
              <w:t xml:space="preserve"> </w:t>
            </w:r>
            <w:r>
              <w:rPr>
                <w:b/>
                <w:bCs/>
              </w:rPr>
              <w:t xml:space="preserve">~1 day</w:t>
            </w:r>
            <w:r>
              <w:t xml:space="preserve"> </w:t>
            </w: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widely reported; find archival citation</w:t>
            </w:r>
          </w:p>
        </w:tc>
        <w:tc>
          <w:tcPr/>
          <w:p>
            <w:pPr>
              <w:pStyle w:val="Compact"/>
            </w:pPr>
            <w:r>
              <w:t xml:space="preserve">NEEDS-VERIFY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Dimorphos</w:t>
            </w:r>
          </w:p>
        </w:tc>
        <w:tc>
          <w:tcPr/>
          <w:p>
            <w:pPr>
              <w:pStyle w:val="Compact"/>
            </w:pPr>
            <w:r>
              <w:t xml:space="preserve">151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~4.3×10⁹ kg</w:t>
            </w:r>
            <w:r>
              <w:t xml:space="preserve"> </w:t>
            </w:r>
            <w:r>
              <w:t xml:space="preserve">(inferred)</w:t>
            </w:r>
          </w:p>
        </w:tc>
        <w:tc>
          <w:tcPr/>
          <w:p>
            <w:pPr>
              <w:pStyle w:val="Compact"/>
            </w:pPr>
            <w:r>
              <w:t xml:space="preserve">DART target</w:t>
            </w:r>
          </w:p>
        </w:tc>
        <w:tc>
          <w:tcPr/>
          <w:p>
            <w:pPr>
              <w:pStyle w:val="Compact"/>
            </w:pPr>
            <w:r>
              <w:t xml:space="preserve">Daly et al. 2023 / Nature Astronomy 2024 physical-properties paper</w:t>
            </w:r>
          </w:p>
        </w:tc>
        <w:tc>
          <w:tcPr/>
          <w:p>
            <w:pPr>
              <w:pStyle w:val="Compact"/>
            </w:pPr>
            <w:r>
              <w:t xml:space="preserve">NEEDS-VERIFY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Bennu</w:t>
            </w:r>
          </w:p>
        </w:tc>
        <w:tc>
          <w:tcPr/>
          <w:p>
            <w:pPr>
              <w:pStyle w:val="Compact"/>
            </w:pPr>
            <w:r>
              <w:t xml:space="preserve">490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7.33×10¹⁰ kg</w:t>
            </w:r>
            <w:r>
              <w:t xml:space="preserve"> </w:t>
            </w:r>
            <w:r>
              <w:t xml:space="preserve">(measured)</w:t>
            </w:r>
          </w:p>
        </w:tc>
        <w:tc>
          <w:tcPr/>
          <w:p>
            <w:pPr>
              <w:pStyle w:val="Compact"/>
            </w:pPr>
            <w:r>
              <w:t xml:space="preserve">ρ = 1.19 g/cm³ —</w:t>
            </w:r>
            <w:r>
              <w:t xml:space="preserve"> </w:t>
            </w:r>
            <w:r>
              <w:rPr>
                <w:b/>
                <w:bCs/>
              </w:rPr>
              <w:t xml:space="preserve">rubble pile</w:t>
            </w:r>
            <w:r>
              <w:t xml:space="preserve">; directly relevant to our Kelvin-sphere k₂ wall (INDEX assumption ledger)</w:t>
            </w:r>
          </w:p>
        </w:tc>
        <w:tc>
          <w:tcPr/>
          <w:p>
            <w:pPr>
              <w:pStyle w:val="Compact"/>
            </w:pPr>
            <w:r>
              <w:t xml:space="preserve">Lauretta et al., OSIRIS-REx results</w:t>
            </w:r>
          </w:p>
        </w:tc>
        <w:tc>
          <w:tcPr/>
          <w:p>
            <w:pPr>
              <w:pStyle w:val="Compact"/>
            </w:pPr>
            <w:r>
              <w:t xml:space="preserve">NEEDS-VERIFY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1 km @ 2.6 g/cm³</w:t>
            </w:r>
          </w:p>
        </w:tc>
        <w:tc>
          <w:tcPr/>
          <w:p>
            <w:pPr>
              <w:pStyle w:val="Compact"/>
            </w:pPr>
            <w:r>
              <w:t xml:space="preserve">1 km</w:t>
            </w:r>
          </w:p>
        </w:tc>
        <w:tc>
          <w:tcPr/>
          <w:p>
            <w:pPr>
              <w:pStyle w:val="Compact"/>
            </w:pPr>
            <w:r>
              <w:t xml:space="preserve">1.4×10¹² kg</w:t>
            </w:r>
          </w:p>
        </w:tc>
        <w:tc>
          <w:tcPr/>
          <w:p>
            <w:pPr>
              <w:pStyle w:val="Compact"/>
            </w:pPr>
            <w:r>
              <w:t xml:space="preserve">global-consequence threshold (NRC 2010)</w:t>
            </w:r>
          </w:p>
        </w:tc>
        <w:tc>
          <w:tcPr/>
          <w:p>
            <w:pPr>
              <w:pStyle w:val="Compact"/>
            </w:pPr>
            <w:r>
              <w:t xml:space="preserve">arithmetic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Chicxulub-class</w:t>
            </w:r>
          </w:p>
        </w:tc>
        <w:tc>
          <w:tcPr/>
          <w:p>
            <w:pPr>
              <w:pStyle w:val="Compact"/>
            </w:pPr>
            <w:r>
              <w:t xml:space="preserve">~10 km</w:t>
            </w:r>
          </w:p>
        </w:tc>
        <w:tc>
          <w:tcPr/>
          <w:p>
            <w:pPr>
              <w:pStyle w:val="Compact"/>
            </w:pPr>
            <w:r>
              <w:t xml:space="preserve">~1.4×10¹⁵ kg</w:t>
            </w:r>
          </w:p>
        </w:tc>
        <w:tc>
          <w:tcPr/>
          <w:p>
            <w:pPr>
              <w:pStyle w:val="Compact"/>
            </w:pPr>
            <w:r>
              <w:t xml:space="preserve">extinction-class</w:t>
            </w:r>
          </w:p>
        </w:tc>
        <w:tc>
          <w:tcPr/>
          <w:p>
            <w:pPr>
              <w:pStyle w:val="Compact"/>
            </w:pPr>
            <w:r>
              <w:t xml:space="preserve">arithmetic + literature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pPr>
        <w:pStyle w:val="BodyText"/>
      </w:pPr>
      <w:r>
        <w:t xml:space="preserve">So the tradespace mass axis spans</w:t>
      </w:r>
      <w:r>
        <w:t xml:space="preserve"> </w:t>
      </w:r>
      <w:r>
        <w:rPr>
          <w:b/>
          <w:bCs/>
        </w:rPr>
        <w:t xml:space="preserve">~10⁷ to ~10¹⁵ kg</w:t>
      </w:r>
      <w:r>
        <w:t xml:space="preserve"> </w:t>
      </w:r>
      <w:r>
        <w:t xml:space="preserve">(20 m to 10 km), with the</w:t>
      </w:r>
      <w:r>
        <w:t xml:space="preserve"> </w:t>
      </w:r>
      <w:r>
        <w:t xml:space="preserve">policy-relevant center at</w:t>
      </w:r>
      <w:r>
        <w:t xml:space="preserve"> </w:t>
      </w:r>
      <w:r>
        <w:rPr>
          <w:b/>
          <w:bCs/>
        </w:rPr>
        <w:t xml:space="preserve">~10⁹–10¹² kg</w:t>
      </w:r>
      <w:r>
        <w:t xml:space="preserve"> </w:t>
      </w:r>
      <w:r>
        <w:t xml:space="preserve">(140 m – 1 km).</w:t>
      </w:r>
    </w:p>
    <w:bookmarkEnd w:id="10"/>
    <w:bookmarkStart w:id="11" w:name="Xbde01af5051c0a7dba069b5972d366b3a2b1d35"/>
    <w:p>
      <w:pPr>
        <w:pStyle w:val="Heading2"/>
      </w:pPr>
      <w:r>
        <w:t xml:space="preserve">3. Required deflection vs. lead time — what is already established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Ahrens &amp; Harris 1992,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Nature</w:t>
      </w:r>
      <w:r>
        <w:rPr>
          <w:b/>
          <w:bCs/>
        </w:rPr>
        <w:t xml:space="preserve"> </w:t>
      </w:r>
      <w:r>
        <w:rPr>
          <w:b/>
          <w:bCs/>
        </w:rPr>
        <w:t xml:space="preserve">360:429</w:t>
      </w:r>
      <w:r>
        <w:t xml:space="preserve"> </w:t>
      </w:r>
      <w:r>
        <w:t xml:space="preserve">(doi:10.1038/360429a0) — the founding</w:t>
      </w:r>
      <w:r>
        <w:t xml:space="preserve"> </w:t>
      </w:r>
      <w:r>
        <w:t xml:space="preserve">result: required Δv scales as</w:t>
      </w:r>
      <w:r>
        <w:t xml:space="preserve"> </w:t>
      </w:r>
      <w:r>
        <w:rPr>
          <w:b/>
          <w:bCs/>
        </w:rPr>
        <w:t xml:space="preserve">1/t</w:t>
      </w:r>
      <w:r>
        <w:t xml:space="preserve"> </w:t>
      </w:r>
      <w:r>
        <w:t xml:space="preserve">with time-before-impact; order</w:t>
      </w:r>
      <w:r>
        <w:t xml:space="preserve"> </w:t>
      </w:r>
      <w:r>
        <w:rPr>
          <w:b/>
          <w:bCs/>
        </w:rPr>
        <w:t xml:space="preserve">1 cm/s if</w:t>
      </w:r>
      <w:r>
        <w:rPr>
          <w:b/>
          <w:bCs/>
        </w:rPr>
        <w:t xml:space="preserve"> </w:t>
      </w:r>
      <w:r>
        <w:rPr>
          <w:b/>
          <w:bCs/>
        </w:rPr>
        <w:t xml:space="preserve">applied decades ahead</w:t>
      </w:r>
      <w:r>
        <w:t xml:space="preserve">. Our</w:t>
      </w:r>
      <w:r>
        <w:t xml:space="preserve"> </w:t>
      </w:r>
      <w:r>
        <w:rPr>
          <w:rStyle w:val="VerbatimChar"/>
        </w:rPr>
        <w:t xml:space="preserve">target/deflection.py:miss_distance</w:t>
      </w:r>
      <w:r>
        <w:t xml:space="preserve"> </w:t>
      </w:r>
      <w:r>
        <w:t xml:space="preserve">implements this</w:t>
      </w:r>
      <w:r>
        <w:t xml:space="preserve"> </w:t>
      </w:r>
      <w:r>
        <w:t xml:space="preserve">impulsive along-track logic (citation already in module).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NRC 2010,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Defending Planet Earth</w:t>
      </w:r>
      <w:r>
        <w:t xml:space="preserve"> </w:t>
      </w:r>
      <w:r>
        <w:t xml:space="preserve">(nationalacademies.org/read/12842) —</w:t>
      </w:r>
      <w:r>
        <w:t xml:space="preserve"> </w:t>
      </w:r>
      <w:r>
        <w:t xml:space="preserve">benchmark:</w:t>
      </w:r>
      <w:r>
        <w:t xml:space="preserve"> </w:t>
      </w:r>
      <w:r>
        <w:rPr>
          <w:b/>
          <w:bCs/>
        </w:rPr>
        <w:t xml:space="preserve">1 cm/s displaces the arrival point ~15,000 km in 10 years</w:t>
      </w:r>
      <w:r>
        <w:t xml:space="preserve"> </w:t>
      </w:r>
      <w:r>
        <w:t xml:space="preserve">(NEEDS-VERIFY: quote wording vs. the report’s own Table 5.x; our own formula</w:t>
      </w:r>
      <w:r>
        <w:t xml:space="preserve"> </w:t>
      </w:r>
      <w:r>
        <w:t xml:space="preserve">gives the same order with the ~3× along-track orbital amplification). Method</w:t>
      </w:r>
      <w:r>
        <w:t xml:space="preserve"> </w:t>
      </w:r>
      <w:r>
        <w:t xml:space="preserve">matrix by size and warning: gravity tractor ≲ 100 m with decades; kinetic</w:t>
      </w:r>
      <w:r>
        <w:t xml:space="preserve"> </w:t>
      </w:r>
      <w:r>
        <w:t xml:space="preserve">impactor up to ~1 km with decades; nuclear standoff for &gt; 1 km or short warning</w:t>
      </w:r>
      <w:r>
        <w:t xml:space="preserve"> </w:t>
      </w:r>
      <w:r>
        <w:t xml:space="preserve">(2.4 cm/s on km-scale bodies at ~100 kt).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Greenstreet et al. 2020,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Icarus</w:t>
      </w:r>
      <w:r>
        <w:rPr>
          <w:b/>
          <w:bCs/>
        </w:rPr>
        <w:t xml:space="preserve"> </w:t>
      </w:r>
      <w:r>
        <w:rPr>
          <w:b/>
          <w:bCs/>
        </w:rPr>
        <w:t xml:space="preserve">347:113792</w:t>
      </w:r>
      <w:r>
        <w:t xml:space="preserve"> </w:t>
      </w:r>
      <w:r>
        <w:t xml:space="preserve">— 10,000 virtual impactors from</w:t>
      </w:r>
      <w:r>
        <w:t xml:space="preserve"> </w:t>
      </w:r>
      <w:r>
        <w:t xml:space="preserve">the debiased population, deflection applied 10–50 yr out, target miss ~4,000 mi.</w:t>
      </w:r>
      <w:r>
        <w:t xml:space="preserve"> </w:t>
      </w:r>
      <w:r>
        <w:t xml:space="preserve">Median Δv ∝ 1/t confirmed statistically;</w:t>
      </w:r>
      <w:r>
        <w:t xml:space="preserve"> </w:t>
      </w:r>
      <w:r>
        <w:rPr>
          <w:b/>
          <w:bCs/>
        </w:rPr>
        <w:t xml:space="preserve">spread is ×10 either way</w:t>
      </w:r>
      <w:r>
        <w:t xml:space="preserve"> </w:t>
      </w:r>
      <w:r>
        <w:t xml:space="preserve">at fixed t</w:t>
      </w:r>
      <w:r>
        <w:t xml:space="preserve"> </w:t>
      </w:r>
      <w:r>
        <w:t xml:space="preserve">(intervening planetary close approaches create low-Δv</w:t>
      </w:r>
      <w:r>
        <w:t xml:space="preserve"> </w:t>
      </w:r>
      <w:r>
        <w:t xml:space="preserve">“keyholes”</w:t>
      </w:r>
      <w:r>
        <w:t xml:space="preserve">). This is the</w:t>
      </w:r>
      <w:r>
        <w:t xml:space="preserve"> </w:t>
      </w:r>
      <w:r>
        <w:t xml:space="preserve">closest existing analogue of our tradespace: it covers the (mass-free Δv × lead</w:t>
      </w:r>
      <w:r>
        <w:t xml:space="preserve"> </w:t>
      </w:r>
      <w:r>
        <w:t xml:space="preserve">time) plane.</w:t>
      </w:r>
      <w:r>
        <w:t xml:space="preserve"> </w:t>
      </w:r>
      <w:r>
        <w:rPr>
          <w:b/>
          <w:bCs/>
        </w:rPr>
        <w:t xml:space="preserve">Our section’s novelty is adding the detection-distance/closure-</w:t>
      </w:r>
      <w:r>
        <w:rPr>
          <w:b/>
          <w:bCs/>
        </w:rPr>
        <w:t xml:space="preserve"> </w:t>
      </w:r>
      <w:r>
        <w:rPr>
          <w:b/>
          <w:bCs/>
        </w:rPr>
        <w:t xml:space="preserve">velocity axes and converting Δv to required spike strength through the tidal</w:t>
      </w:r>
      <w:r>
        <w:rPr>
          <w:b/>
          <w:bCs/>
        </w:rPr>
        <w:t xml:space="preserve"> </w:t>
      </w:r>
      <w:r>
        <w:rPr>
          <w:b/>
          <w:bCs/>
        </w:rPr>
        <w:t xml:space="preserve">coupling channel.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DART, achieved state of the art:</w:t>
      </w:r>
      <w:r>
        <w:t xml:space="preserve"> </w:t>
      </w:r>
      <w:r>
        <w:t xml:space="preserve">Δv =</w:t>
      </w:r>
      <w:r>
        <w:t xml:space="preserve"> </w:t>
      </w:r>
      <w:r>
        <w:rPr>
          <w:b/>
          <w:bCs/>
        </w:rPr>
        <w:t xml:space="preserve">2.70 ± 0.10 mm/s</w:t>
      </w:r>
      <w:r>
        <w:t xml:space="preserve"> </w:t>
      </w:r>
      <w:r>
        <w:t xml:space="preserve">on Dimorphos</w:t>
      </w:r>
      <w:r>
        <w:t xml:space="preserve"> </w:t>
      </w:r>
      <w:r>
        <w:t xml:space="preserve">(~4.3×10⁹ kg), momentum enhancement β ≈ 2.2–4.9 (Cheng et al. 2023,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616:457; Thomas et al. 2023,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616:448 for the 33-min period change).</w:t>
      </w:r>
      <w:r>
        <w:t xml:space="preserve"> </w:t>
      </w:r>
      <w:r>
        <w:t xml:space="preserve">Achieved impulse ≈ 10⁷ kg·m/s from one ~580 kg impactor at 6 km/s.</w:t>
      </w:r>
    </w:p>
    <w:bookmarkEnd w:id="11"/>
    <w:bookmarkStart w:id="12" w:name="X55790efd5e0160e01a4d68ab0668427774cf2a3"/>
    <w:p>
      <w:pPr>
        <w:pStyle w:val="Heading2"/>
      </w:pPr>
      <w:r>
        <w:t xml:space="preserve">4. Warning time — the axis the deflection literature quietly assumes away</w:t>
      </w:r>
    </w:p>
    <w:p>
      <w:pPr>
        <w:pStyle w:val="FirstParagraph"/>
      </w:pPr>
      <w:r>
        <w:t xml:space="preserve">The Δv ∝ 1/t results above are usually quoted at t = decades. The discovery</w:t>
      </w:r>
      <w:r>
        <w:t xml:space="preserve"> </w:t>
      </w:r>
      <w:r>
        <w:t xml:space="preserve">literature says decades of warning is the</w:t>
      </w:r>
      <w:r>
        <w:t xml:space="preserve"> </w:t>
      </w:r>
      <w:r>
        <w:rPr>
          <w:i/>
          <w:iCs/>
        </w:rPr>
        <w:t xml:space="preserve">exception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Cheng, Scolnic, Kurlander, Chow &amp; Fernandes 2026</w:t>
      </w:r>
      <w:r>
        <w:t xml:space="preserve"> </w:t>
      </w:r>
      <w:r>
        <w:t xml:space="preserve">(arXiv:2601.16255), LSST</w:t>
      </w:r>
      <w:r>
        <w:t xml:space="preserve"> </w:t>
      </w:r>
      <w:r>
        <w:t xml:space="preserve">simulated impactor discovery: fraction of impactors discovered before impact and</w:t>
      </w:r>
      <w:r>
        <w:t xml:space="preserve"> </w:t>
      </w:r>
      <w:r>
        <w:rPr>
          <w:b/>
          <w:bCs/>
        </w:rPr>
        <w:t xml:space="preserve">median warning time by size</w:t>
      </w:r>
      <w:r>
        <w:t xml:space="preserve"> </w:t>
      </w:r>
      <w:r>
        <w:t xml:space="preserve">—</w:t>
      </w:r>
    </w:p>
    <w:p>
      <w:pPr>
        <w:pStyle w:val="Compact"/>
        <w:numPr>
          <w:ilvl w:val="1"/>
          <w:numId w:val="1004"/>
        </w:numPr>
      </w:pPr>
      <w:r>
        <w:t xml:space="preserve">10–20 m: 10.5% discovered, median warning</w:t>
      </w:r>
      <w:r>
        <w:t xml:space="preserve"> </w:t>
      </w:r>
      <w:r>
        <w:rPr>
          <w:b/>
          <w:bCs/>
        </w:rPr>
        <w:t xml:space="preserve">12.4 days</w:t>
      </w:r>
    </w:p>
    <w:p>
      <w:pPr>
        <w:pStyle w:val="Compact"/>
        <w:numPr>
          <w:ilvl w:val="1"/>
          <w:numId w:val="1004"/>
        </w:numPr>
      </w:pPr>
      <w:r>
        <w:t xml:space="preserve">20–50 m: 26.8%, median</w:t>
      </w:r>
      <w:r>
        <w:t xml:space="preserve"> </w:t>
      </w:r>
      <w:r>
        <w:rPr>
          <w:b/>
          <w:bCs/>
        </w:rPr>
        <w:t xml:space="preserve">21.5 days</w:t>
      </w:r>
    </w:p>
    <w:p>
      <w:pPr>
        <w:pStyle w:val="Compact"/>
        <w:numPr>
          <w:ilvl w:val="1"/>
          <w:numId w:val="1004"/>
        </w:numPr>
      </w:pPr>
      <w:r>
        <w:t xml:space="preserve">50–140 m: 50.3%, median</w:t>
      </w:r>
      <w:r>
        <w:t xml:space="preserve"> </w:t>
      </w:r>
      <w:r>
        <w:rPr>
          <w:b/>
          <w:bCs/>
        </w:rPr>
        <w:t xml:space="preserve">~106 days</w:t>
      </w:r>
    </w:p>
    <w:p>
      <w:pPr>
        <w:pStyle w:val="Compact"/>
        <w:numPr>
          <w:ilvl w:val="1"/>
          <w:numId w:val="1004"/>
        </w:numPr>
      </w:pPr>
      <w:r>
        <w:t xml:space="preserve">&gt;140 m: 79.7% discovered, but</w:t>
      </w:r>
      <w:r>
        <w:t xml:space="preserve"> </w:t>
      </w:r>
      <w:r>
        <w:rPr>
          <w:b/>
          <w:bCs/>
        </w:rPr>
        <w:t xml:space="preserve">only 39% get more than one year</w:t>
      </w:r>
    </w:p>
    <w:p>
      <w:pPr>
        <w:pStyle w:val="Compact"/>
        <w:numPr>
          <w:ilvl w:val="0"/>
          <w:numId w:val="1003"/>
        </w:numPr>
      </w:pPr>
      <w:r>
        <w:t xml:space="preserve">Real events agree: Chelyabinsk (20 m) — zero warning; 2008 TC3 — 19 h;</w:t>
      </w:r>
      <w:r>
        <w:t xml:space="preserve"> </w:t>
      </w:r>
      <w:r>
        <w:t xml:space="preserve">2019 OK (~100 m) — ~1 day.</w:t>
      </w:r>
    </w:p>
    <w:p>
      <w:pPr>
        <w:pStyle w:val="Compact"/>
        <w:numPr>
          <w:ilvl w:val="0"/>
          <w:numId w:val="1003"/>
        </w:numPr>
      </w:pPr>
      <w:r>
        <w:t xml:space="preserve">Long-period comets: months-to-a-year of warning at best, at 50–72 km/s closure</w:t>
      </w:r>
      <w:r>
        <w:t xml:space="preserve"> </w:t>
      </w:r>
      <w:r>
        <w:t xml:space="preserve">(</w:t>
      </w:r>
      <w:r>
        <w:rPr>
          <w:i/>
          <w:iCs/>
        </w:rPr>
        <w:t xml:space="preserve">Acta Astronautica</w:t>
      </w:r>
      <w:r>
        <w:t xml:space="preserve"> </w:t>
      </w:r>
      <w:r>
        <w:t xml:space="preserve">2018 above).</w:t>
      </w:r>
    </w:p>
    <w:p>
      <w:pPr>
        <w:pStyle w:val="FirstParagraph"/>
      </w:pPr>
      <w:r>
        <w:rPr>
          <w:b/>
          <w:bCs/>
        </w:rPr>
        <w:t xml:space="preserve">Consequence for the tradespace:</w:t>
      </w:r>
      <w:r>
        <w:t xml:space="preserve"> </w:t>
      </w:r>
      <w:r>
        <w:t xml:space="preserve">for everything except the pre-catalogued large</w:t>
      </w:r>
      <w:r>
        <w:t xml:space="preserve"> </w:t>
      </w:r>
      <w:r>
        <w:t xml:space="preserve">population, lead time is set by</w:t>
      </w:r>
      <w:r>
        <w:t xml:space="preserve"> </w:t>
      </w:r>
      <w:r>
        <w:rPr>
          <w:i/>
          <w:iCs/>
        </w:rPr>
        <w:t xml:space="preserve">detection distance and closure velocity</w:t>
      </w:r>
      <w:r>
        <w:t xml:space="preserve">, not by</w:t>
      </w:r>
      <w:r>
        <w:t xml:space="preserve"> </w:t>
      </w:r>
      <w:r>
        <w:t xml:space="preserve">survey completeness statistics. That is precisely our tradespace’s front axis:</w:t>
      </w:r>
    </w:p>
    <w:p>
      <w:pPr>
        <w:pStyle w:val="BlockText"/>
      </w:pPr>
      <w:r>
        <w:t xml:space="preserve">t = d / v_c (first order). At 20 km/s closure: detection at 1 AU →</w:t>
      </w:r>
      <w:r>
        <w:t xml:space="preserve"> </w:t>
      </w:r>
      <w:r>
        <w:rPr>
          <w:b/>
          <w:bCs/>
        </w:rPr>
        <w:t xml:space="preserve">87 days</w:t>
      </w:r>
      <w:r>
        <w:t xml:space="preserve">;</w:t>
      </w:r>
      <w:r>
        <w:t xml:space="preserve"> </w:t>
      </w:r>
      <w:r>
        <w:t xml:space="preserve">at 5 AU →</w:t>
      </w:r>
      <w:r>
        <w:t xml:space="preserve"> </w:t>
      </w:r>
      <w:r>
        <w:rPr>
          <w:b/>
          <w:bCs/>
        </w:rPr>
        <w:t xml:space="preserve">1.2 yr</w:t>
      </w:r>
      <w:r>
        <w:t xml:space="preserve">; at 40 AU (our</w:t>
      </w:r>
      <w:r>
        <w:t xml:space="preserve"> </w:t>
      </w:r>
      <w:r>
        <w:rPr>
          <w:rStyle w:val="VerbatimChar"/>
        </w:rPr>
        <w:t xml:space="preserve">TARGET_RANGE</w:t>
      </w:r>
      <w:r>
        <w:t xml:space="preserve">) →</w:t>
      </w:r>
      <w:r>
        <w:t xml:space="preserve"> </w:t>
      </w:r>
      <w:r>
        <w:rPr>
          <w:b/>
          <w:bCs/>
        </w:rPr>
        <w:t xml:space="preserve">9.5 yr</w:t>
      </w:r>
      <w:r>
        <w:t xml:space="preserve">.</w:t>
      </w:r>
    </w:p>
    <w:p>
      <w:pPr>
        <w:pStyle w:val="FirstParagraph"/>
      </w:pPr>
      <w:r>
        <w:t xml:space="preserve">A detection system that works at 40 AU converts a Chelyabinsk-class</w:t>
      </w:r>
      <w:r>
        <w:t xml:space="preserve"> </w:t>
      </w:r>
      <w:r>
        <w:t xml:space="preserve">“zero warning”</w:t>
      </w:r>
      <w:r>
        <w:t xml:space="preserve"> </w:t>
      </w:r>
      <w:r>
        <w:t xml:space="preserve">into a decade — which is the regime where the 1/t law makes cm/s-class deflection</w:t>
      </w:r>
      <w:r>
        <w:t xml:space="preserve"> </w:t>
      </w:r>
      <w:r>
        <w:t xml:space="preserve">meaningful at all. Conversely at 1 AU detection, required Δv is ~40× the decades</w:t>
      </w:r>
      <w:r>
        <w:t xml:space="preserve"> </w:t>
      </w:r>
      <w:r>
        <w:t xml:space="preserve">value, and slow-push methods are excluded by the literature’s own method matrix.</w:t>
      </w:r>
    </w:p>
    <w:bookmarkEnd w:id="12"/>
    <w:bookmarkStart w:id="13" w:name="X7dce68260c235797789d8c44fdc8a222832c123"/>
    <w:p>
      <w:pPr>
        <w:pStyle w:val="Heading2"/>
      </w:pPr>
      <w:r>
        <w:t xml:space="preserve">5. Mapping onto the framework (for the section design, not yet tasked)</w:t>
      </w:r>
    </w:p>
    <w:p>
      <w:pPr>
        <w:pStyle w:val="Compact"/>
        <w:numPr>
          <w:ilvl w:val="0"/>
          <w:numId w:val="1005"/>
        </w:numPr>
      </w:pPr>
      <w:r>
        <w:t xml:space="preserve">Lead time: t = d/v_c over the grid d ∈ [0.05, 40] AU, v_c ∈ [11.2, 72] km/s.</w:t>
      </w:r>
    </w:p>
    <w:p>
      <w:pPr>
        <w:pStyle w:val="Compact"/>
        <w:numPr>
          <w:ilvl w:val="0"/>
          <w:numId w:val="1005"/>
        </w:numPr>
      </w:pPr>
      <w:r>
        <w:t xml:space="preserve">Required Δv(t): use</w:t>
      </w:r>
      <w:r>
        <w:t xml:space="preserve"> </w:t>
      </w:r>
      <w:r>
        <w:rPr>
          <w:rStyle w:val="VerbatimChar"/>
        </w:rPr>
        <w:t xml:space="preserve">target/deflection.py:miss_distance</w:t>
      </w:r>
      <w:r>
        <w:t xml:space="preserve"> </w:t>
      </w:r>
      <w:r>
        <w:t xml:space="preserve">inverted for one Earth</w:t>
      </w:r>
      <w:r>
        <w:t xml:space="preserve"> </w:t>
      </w:r>
      <w:r>
        <w:t xml:space="preserve">radius + gravitational-focusing cross-section; cross-check the median curve of</w:t>
      </w:r>
      <w:r>
        <w:t xml:space="preserve"> </w:t>
      </w:r>
      <w:r>
        <w:t xml:space="preserve">Greenstreet et al. 2020.</w:t>
      </w:r>
    </w:p>
    <w:p>
      <w:pPr>
        <w:pStyle w:val="Compact"/>
        <w:numPr>
          <w:ilvl w:val="0"/>
          <w:numId w:val="1005"/>
        </w:numPr>
      </w:pPr>
      <w:r>
        <w:t xml:space="preserve">Required impulse: m·Δv over m ∈ [10⁷, 10¹⁵] kg.</w:t>
      </w:r>
    </w:p>
    <w:p>
      <w:pPr>
        <w:pStyle w:val="Compact"/>
        <w:numPr>
          <w:ilvl w:val="0"/>
          <w:numId w:val="1005"/>
        </w:numPr>
      </w:pPr>
      <w:r>
        <w:t xml:space="preserve">Required spike strength: convert impulse to the tidal-coupling channel via</w:t>
      </w:r>
      <w:r>
        <w:t xml:space="preserve"> </w:t>
      </w:r>
      <w:r>
        <w:rPr>
          <w:rStyle w:val="VerbatimChar"/>
        </w:rPr>
        <w:t xml:space="preserve">target/coupling.py</w:t>
      </w:r>
      <w:r>
        <w:t xml:space="preserve"> </w:t>
      </w:r>
      <w:r>
        <w:t xml:space="preserve">— remembering the R6/geodesic finding that a GW delivers</w:t>
      </w:r>
      <w:r>
        <w:t xml:space="preserve"> </w:t>
      </w:r>
      <w:r>
        <w:rPr>
          <w:b/>
          <w:bCs/>
        </w:rPr>
        <w:t xml:space="preserve">tidal strain, not net force</w:t>
      </w:r>
      <w:r>
        <w:t xml:space="preserve">, so the honest output is the required strain/</w:t>
      </w:r>
      <w:r>
        <w:t xml:space="preserve"> </w:t>
      </w:r>
      <w:r>
        <w:t xml:space="preserve">gradient at the target, compared against the R5 ledger’s achievable values. The</w:t>
      </w:r>
      <w:r>
        <w:t xml:space="preserve"> </w:t>
      </w:r>
      <w:r>
        <w:t xml:space="preserve">existing R6 single-point</w:t>
      </w:r>
      <w:r>
        <w:t xml:space="preserve"> </w:t>
      </w:r>
      <w:r>
        <w:t xml:space="preserve">“Required = 43 N”</w:t>
      </w:r>
      <w:r>
        <w:t xml:space="preserve"> </w:t>
      </w:r>
      <w:r>
        <w:t xml:space="preserve">generalizes into this surface.</w:t>
      </w:r>
    </w:p>
    <w:p>
      <w:pPr>
        <w:pStyle w:val="Compact"/>
        <w:numPr>
          <w:ilvl w:val="0"/>
          <w:numId w:val="1005"/>
        </w:numPr>
      </w:pPr>
      <w:r>
        <w:t xml:space="preserve">Expect the section to be a</w:t>
      </w:r>
      <w:r>
        <w:t xml:space="preserve"> </w:t>
      </w:r>
      <w:r>
        <w:rPr>
          <w:i/>
          <w:iCs/>
        </w:rPr>
        <w:t xml:space="preserve">walls</w:t>
      </w:r>
      <w:r>
        <w:t xml:space="preserve"> </w:t>
      </w:r>
      <w:r>
        <w:t xml:space="preserve">result (rule 5: never delete a wall): the</w:t>
      </w:r>
      <w:r>
        <w:t xml:space="preserve"> </w:t>
      </w:r>
      <w:r>
        <w:t xml:space="preserve">ledger gap will vary across the tradespace but almost certainly stays a gap;</w:t>
      </w:r>
      <w:r>
        <w:t xml:space="preserve"> </w:t>
      </w:r>
      <w:r>
        <w:t xml:space="preserve">the interesting output is</w:t>
      </w:r>
      <w:r>
        <w:t xml:space="preserve"> </w:t>
      </w:r>
      <w:r>
        <w:rPr>
          <w:b/>
          <w:bCs/>
        </w:rPr>
        <w:t xml:space="preserve">where in (d, v_c, m) the gap is smallest</w:t>
      </w:r>
      <w:r>
        <w:t xml:space="preserve">, and the</w:t>
      </w:r>
      <w:r>
        <w:t xml:space="preserve"> </w:t>
      </w:r>
      <w:r>
        <w:t xml:space="preserve">detection-distance→lead-time conversion above, which is genuinely new relative</w:t>
      </w:r>
      <w:r>
        <w:t xml:space="preserve"> </w:t>
      </w:r>
      <w:r>
        <w:t xml:space="preserve">to Greenstreet et al.’s fixed-epoch treatment.</w:t>
      </w:r>
    </w:p>
    <w:bookmarkEnd w:id="13"/>
    <w:bookmarkStart w:id="14" w:name="sources-retrieval-trail"/>
    <w:p>
      <w:pPr>
        <w:pStyle w:val="Heading2"/>
      </w:pPr>
      <w:r>
        <w:t xml:space="preserve">Sources (retrieval trail)</w:t>
      </w:r>
    </w:p>
    <w:p>
      <w:pPr>
        <w:pStyle w:val="Compact"/>
        <w:numPr>
          <w:ilvl w:val="0"/>
          <w:numId w:val="1006"/>
        </w:numPr>
      </w:pPr>
      <w:r>
        <w:t xml:space="preserve">https://www.nature.com/articles/360429a0 (Ahrens &amp; Harris 1992)</w:t>
      </w:r>
    </w:p>
    <w:p>
      <w:pPr>
        <w:pStyle w:val="Compact"/>
        <w:numPr>
          <w:ilvl w:val="0"/>
          <w:numId w:val="1006"/>
        </w:numPr>
      </w:pPr>
      <w:r>
        <w:t xml:space="preserve">https://www.nationalacademies.org/read/12842/chapter/7 (NRC 2010, mitigation ch.)</w:t>
      </w:r>
    </w:p>
    <w:p>
      <w:pPr>
        <w:pStyle w:val="Compact"/>
        <w:numPr>
          <w:ilvl w:val="0"/>
          <w:numId w:val="1006"/>
        </w:numPr>
      </w:pPr>
      <w:r>
        <w:t xml:space="preserve">https://www.sciencedirect.com/science/article/abs/pii/S0019103520301755 (Greenstreet et al. 2020)</w:t>
      </w:r>
    </w:p>
    <w:p>
      <w:pPr>
        <w:pStyle w:val="Compact"/>
        <w:numPr>
          <w:ilvl w:val="0"/>
          <w:numId w:val="1006"/>
        </w:numPr>
      </w:pPr>
      <w:r>
        <w:t xml:space="preserve">https://b612foundation.org/the-effect-of-warning-time-on-the-deflection-of-earth-impacting-asteroids/</w:t>
      </w:r>
    </w:p>
    <w:p>
      <w:pPr>
        <w:pStyle w:val="Compact"/>
        <w:numPr>
          <w:ilvl w:val="0"/>
          <w:numId w:val="1006"/>
        </w:numPr>
      </w:pPr>
      <w:r>
        <w:t xml:space="preserve">https://arxiv.org/abs/2601.16255 (Cheng et al. 2026, LSST impactor warning times)</w:t>
      </w:r>
    </w:p>
    <w:p>
      <w:pPr>
        <w:pStyle w:val="Compact"/>
        <w:numPr>
          <w:ilvl w:val="0"/>
          <w:numId w:val="1006"/>
        </w:numPr>
      </w:pPr>
      <w:r>
        <w:t xml:space="preserve">https://arxiv.org/abs/2011.07775 (Drolshagen et al. 2020, observed impact-velocity distribution)</w:t>
      </w:r>
    </w:p>
    <w:p>
      <w:pPr>
        <w:pStyle w:val="Compact"/>
        <w:numPr>
          <w:ilvl w:val="0"/>
          <w:numId w:val="1006"/>
        </w:numPr>
      </w:pPr>
      <w:r>
        <w:t xml:space="preserve">https://cneos.jpl.nasa.gov/doc/2017_neo_sdt_final_e-version.pdf (SDT 2017 — too large to fetch this session; verify locally)</w:t>
      </w:r>
    </w:p>
    <w:p>
      <w:pPr>
        <w:pStyle w:val="Compact"/>
        <w:numPr>
          <w:ilvl w:val="0"/>
          <w:numId w:val="1006"/>
        </w:numPr>
      </w:pPr>
      <w:r>
        <w:t xml:space="preserve">https://www2.boulder.swri.edu/~bottke/Reprints/Granvik_2018_Icarus_312_181_Debiased_Orbit_Mag_NEO.pdf (Granvik et al. 2018)</w:t>
      </w:r>
    </w:p>
    <w:p>
      <w:pPr>
        <w:pStyle w:val="Compact"/>
        <w:numPr>
          <w:ilvl w:val="0"/>
          <w:numId w:val="1006"/>
        </w:numPr>
      </w:pPr>
      <w:r>
        <w:t xml:space="preserve">https://www.nature.com/articles/s41586-023-05878-z (Cheng et al. 2023, DART momentum)</w:t>
      </w:r>
    </w:p>
    <w:p>
      <w:pPr>
        <w:pStyle w:val="Compact"/>
        <w:numPr>
          <w:ilvl w:val="0"/>
          <w:numId w:val="1006"/>
        </w:numPr>
      </w:pPr>
      <w:r>
        <w:t xml:space="preserve">https://phys.org/news/2013-11-results-russian-chelyabinsk-meteor-published.html (Chelyabinsk secondary)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2026-08-09T05:33:26Z</dcterms:created>
  <dcterms:modified xsi:type="dcterms:W3CDTF">2026-08-09T05:33:26Z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