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The Main, Discussion and Methods are written.</w:t>
      </w:r>
      <w:r>
        <w:t xml:space="preserve"> </w:t>
      </w:r>
      <w:r>
        <w:rPr>
          <w:b/>
          <w:bCs/>
        </w:rPr>
        <w:t xml:space="preserve">The Results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is a pre-registered stub</w:t>
      </w:r>
      <w:r>
        <w:t xml:space="preserve"> </w:t>
      </w:r>
      <w:r>
        <w:t xml:space="preserve">(§Results below): every subsection states the</w:t>
      </w:r>
      <w:r>
        <w:t xml:space="preserve"> </w:t>
      </w:r>
      <w:r>
        <w:t xml:space="preserve">quantity to be reported, the run that produces it, the tolerance that would falsify</w:t>
      </w:r>
      <w:r>
        <w:t xml:space="preserve"> </w:t>
      </w:r>
      <w:r>
        <w:t xml:space="preserve">it, and the display item it lands in — but no numbers from campaign runs are entered</w:t>
      </w:r>
      <w:r>
        <w:t xml:space="preserve"> </w:t>
      </w:r>
      <w:r>
        <w:t xml:space="preserve">yet. Numbers that appear anywhere in this draft are</w:t>
      </w:r>
      <w:r>
        <w:t xml:space="preserve"> </w:t>
      </w:r>
      <w:r>
        <w:rPr>
          <w:b/>
          <w:bCs/>
        </w:rPr>
        <w:t xml:space="preserve">already-committed test and</w:t>
      </w:r>
      <w:r>
        <w:rPr>
          <w:b/>
          <w:bCs/>
        </w:rPr>
        <w:t xml:space="preserve"> </w:t>
      </w:r>
      <w:r>
        <w:rPr>
          <w:b/>
          <w:bCs/>
        </w:rPr>
        <w:t xml:space="preserve">benchmark outputs</w:t>
      </w:r>
      <w:r>
        <w:t xml:space="preserve"> </w:t>
      </w:r>
      <w:r>
        <w:t xml:space="preserve">from the repository, not campaign results, and each is traceable</w:t>
      </w:r>
      <w:r>
        <w:t xml:space="preserve"> </w:t>
      </w:r>
      <w:r>
        <w:t xml:space="preserve">to a named test. See §</w:t>
      </w:r>
      <w:r>
        <w:t xml:space="preserve">“Numbers in this draft”</w:t>
      </w:r>
      <w:r>
        <w:t xml:space="preserve"> </w:t>
      </w:r>
      <w:r>
        <w:t xml:space="preserve">for the distinction and the audit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bb38188a52c02777f3cb08cd904f3580809066d"/>
      <w:r>
        <w:t xml:space="preserve">⚠ STUB — pre-registered structure, no campaign numbers entered</w:t>
      </w:r>
      <w:bookmarkEnd w:id="16"/>
    </w:p>
    <w:p>
      <w:pPr>
        <w:pStyle w:val="BlockText"/>
      </w:pPr>
      <w:r>
        <w:t xml:space="preserve">This section is deliberately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is run,</w:t>
      </w:r>
      <w:r>
        <w:t xml:space="preserve"> </w:t>
      </w:r>
      <w:r>
        <w:t xml:space="preserve">in the pre-registration style, so that the analysis plan cannot be adjusted after</w:t>
      </w:r>
      <w:r>
        <w:t xml:space="preserve"> </w:t>
      </w:r>
      <w:r>
        <w:t xml:space="preserve">seeing the outcome. Each subsection below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Filling rule.</w:t>
      </w:r>
      <w:r>
        <w:t xml:space="preserve"> </w:t>
      </w:r>
      <w:r>
        <w:t xml:space="preserve">A subsection may only be completed from a committed run whose</w:t>
      </w:r>
      <w:r>
        <w:t xml:space="preserve"> </w:t>
      </w:r>
      <w:r>
        <w:t xml:space="preserve">manifest hash appears in the Source Data. Any number entered here must be</w:t>
      </w:r>
      <w:r>
        <w:t xml:space="preserve"> </w:t>
      </w:r>
      <w:r>
        <w:t xml:space="preserve">reproducible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by a committed script in</w:t>
      </w:r>
      <w:r>
        <w:t xml:space="preserve"> </w:t>
      </w:r>
      <w:r>
        <w:rPr>
          <w:rStyle w:val="VerbatimChar"/>
        </w:rPr>
        <w:t xml:space="preserve">scratchpad/</w:t>
      </w:r>
      <w:r>
        <w:t xml:space="preserve">. Prose may not be</w:t>
      </w:r>
      <w:r>
        <w:t xml:space="preserve"> </w:t>
      </w:r>
      <w:r>
        <w:t xml:space="preserve">written before the number it describes.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two-element case is already committed (Table 1) and</w:t>
      </w:r>
      <w:r>
        <w:t xml:space="preserve"> </w:t>
      </w:r>
      <w:r>
        <w:t xml:space="preserve">agrees exactly; the N-element generalization is the new content.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proved the new rotation rules using just two emitters. Do</w:t>
      </w:r>
      <w:r>
        <w:t xml:space="preserve"> </w:t>
      </w:r>
      <w:r>
        <w:t xml:space="preserve">they still hold with sixteen, a hundred, a thousand? That’s this experiment. We’ve stated</w:t>
      </w:r>
      <w:r>
        <w:t xml:space="preserve"> </w:t>
      </w:r>
      <w:r>
        <w:t xml:space="preserve">in advance exactly what would prove us wrong: if the 90° pair fails to cancel completely,</w:t>
      </w:r>
      <w:r>
        <w:t xml:space="preserve"> </w:t>
      </w:r>
      <w:r>
        <w:t xml:space="preserve">or if the alignment-tolerance curve turns out to match the ordinary radio formula better</w:t>
      </w:r>
      <w:r>
        <w:t xml:space="preserve"> </w:t>
      </w:r>
      <w:r>
        <w:t xml:space="preserve">than our gravitational one, then our central claim is broken and we say so.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 </w:t>
      </w:r>
      <w:r>
        <w:t xml:space="preserve">for the campaign sweep; the committed unit-scale study</w:t>
      </w:r>
      <w:r>
        <w:t xml:space="preserve"> </w:t>
      </w:r>
      <w:r>
        <w:t xml:space="preserve">already shows rigid-model radiation at a measured floor of 10⁻¹⁵ against elastic-model</w:t>
      </w:r>
      <w:r>
        <w:t xml:space="preserve"> </w:t>
      </w:r>
      <w:r>
        <w:t xml:space="preserve">variation of ~7.6 × 10⁴ – 1.0 × 10⁵ ×, which the campaign should extend rather than</w:t>
      </w:r>
      <w:r>
        <w:t xml:space="preserve"> </w:t>
      </w:r>
      <w:r>
        <w:t xml:space="preserve">merely repeat.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like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surprising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the total weight matters, and size and density</w:t>
      </w:r>
      <w:r>
        <w:t xml:space="preserve"> </w:t>
      </w:r>
      <w:r>
        <w:t xml:space="preserve">cancel out entirely. But real objects aren’t perfectly rigid: they flex. Once you allow</w:t>
      </w:r>
      <w:r>
        <w:t xml:space="preserve"> </w:t>
      </w:r>
      <w:r>
        <w:t xml:space="preserve">flexing, size and density matter enormously — we measure a difference of up to about</w:t>
      </w:r>
      <w:r>
        <w:t xml:space="preserve"> </w:t>
      </w:r>
      <w:r>
        <w:t xml:space="preserve">100,000× across steel, tungsten and osmium. This experiment maps that out, and includes a</w:t>
      </w:r>
      <w:r>
        <w:t xml:space="preserve"> </w:t>
      </w:r>
      <w:r>
        <w:t xml:space="preserve">trap for ourselves: if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ever shows any size dependence at all, even at</w:t>
      </w:r>
      <w:r>
        <w:t xml:space="preserve"> </w:t>
      </w:r>
      <w:r>
        <w:t xml:space="preserve">the fourteenth decimal place, something has leaked and the code is wrong.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  <w:r>
        <w:t xml:space="preserve"> </w:t>
      </w:r>
      <w:r>
        <w:rPr>
          <w:b/>
          <w:bCs/>
        </w:rPr>
        <w:t xml:space="preserve">Four traps must be honoured in the analysis and stated in</w:t>
      </w:r>
      <w:r>
        <w:rPr>
          <w:b/>
          <w:bCs/>
        </w:rPr>
        <w:t xml:space="preserve"> </w:t>
      </w:r>
      <w:r>
        <w:rPr>
          <w:b/>
          <w:bCs/>
        </w:rPr>
        <w:t xml:space="preserve">the caption</w:t>
      </w:r>
      <w:r>
        <w:t xml:space="preserve">, each of which produces a test that passes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√N, so an implementer chasing the 12% discrepancy would</w:t>
      </w:r>
      <w:r>
        <w:t xml:space="preserve"> </w:t>
      </w:r>
      <w:r>
        <w:t xml:space="preserve">be chasing correct behaviour.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if you drive many emitters at</w:t>
      </w:r>
      <w:r>
        <w:t xml:space="preserve"> </w:t>
      </w:r>
      <w:r>
        <w:t xml:space="preserve">frequencies that never quite line up with one another (using prime numbers, so their</w:t>
      </w:r>
      <w:r>
        <w:t xml:space="preserve"> </w:t>
      </w:r>
      <w:r>
        <w:t xml:space="preserve">rhythms take an extremely long time to repeat), all the waves coincide at exactly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point in space and time</w:t>
      </w:r>
      <w:r>
        <w:t xml:space="preserve"> </w:t>
      </w:r>
      <w:r>
        <w:t xml:space="preserve">and nowhere else — a brief, sharp spike instead of a spread-out</w:t>
      </w:r>
      <w:r>
        <w:t xml:space="preserve"> </w:t>
      </w:r>
      <w:r>
        <w:t xml:space="preserve">beam. This experiment tests whether that works here. The important part is the four</w:t>
      </w:r>
      <w:r>
        <w:t xml:space="preserve"> </w:t>
      </w:r>
      <w:r>
        <w:t xml:space="preserve">warnings: each describes a way of running this test that would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succeed while</w:t>
      </w:r>
      <w:r>
        <w:t xml:space="preserve"> </w:t>
      </w:r>
      <w:r>
        <w:t xml:space="preserve">actually measuring nothing. The nastiest is the first — at the frequency we’d naturally</w:t>
      </w:r>
      <w:r>
        <w:t xml:space="preserve"> </w:t>
      </w:r>
      <w:r>
        <w:t xml:space="preserve">pick, our array is smaller than a single wavelength, which makes it behave like one single</w:t>
      </w:r>
      <w:r>
        <w:t xml:space="preserve"> </w:t>
      </w:r>
      <w:r>
        <w:t xml:space="preserve">emitter rather than an array. In that situation the test passes perfectly even if you</w:t>
      </w:r>
      <w:r>
        <w:t xml:space="preserve"> </w:t>
      </w:r>
      <w:r>
        <w:t xml:space="preserve">delete the entire focusing calculation. We found these by measuring, and we’re publishing</w:t>
      </w:r>
      <w:r>
        <w:t xml:space="preserve"> </w:t>
      </w:r>
      <w:r>
        <w:t xml:space="preserve">them because they’re the traps most likely to catch the next person.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three walls to be reported are diffraction (a 1 km spot</w:t>
      </w:r>
      <w:r>
        <w:t xml:space="preserve"> </w:t>
      </w:r>
      <w:r>
        <w:t xml:space="preserve">at 40 AU requires an aperture of ~6 × 10⁹ wavelengths</w:t>
      </w:r>
      <w:r>
        <w:t xml:space="preserve"> </w:t>
      </w:r>
      <w:r>
        <w:rPr>
          <w:b/>
          <w:bCs/>
        </w:rPr>
        <w:t xml:space="preserve">at any frequency</w:t>
      </w:r>
      <w:r>
        <w:t xml:space="preserve"> </w:t>
      </w:r>
      <w:r>
        <w:t xml:space="preserve">— raising</w:t>
      </w:r>
      <w:r>
        <w:t xml:space="preserve"> </w:t>
      </w:r>
      <w:r>
        <w:t xml:space="preserve">frequency does not relax the ratio, it shrinks the physical size that ratio corresponds</w:t>
      </w:r>
      <w:r>
        <w:t xml:space="preserve"> </w:t>
      </w:r>
      <w:r>
        <w:t xml:space="preserve">to, from ~1.2 × 10⁷ AU at 1 Hz to ~12 AU at 1 MHz); coupling (a gravitational wave</w:t>
      </w:r>
      <w:r>
        <w:t xml:space="preserve"> </w:t>
      </w:r>
      <w:r>
        <w:t xml:space="preserve">produces tidal strain, not net force, and momentum transfer requires absorption against</w:t>
      </w:r>
      <w:r>
        <w:t xml:space="preserve"> </w:t>
      </w:r>
      <w:r>
        <w:t xml:space="preserve">a negligible cross-section); and magnitude (radiated power scales as ω⁶, making</w:t>
      </w:r>
      <w:r>
        <w:t xml:space="preserve"> </w:t>
      </w:r>
      <w:r>
        <w:t xml:space="preserve">frequency the dominant lever by ~10³⁶ between 1 Hz and 1 MHz operation, against a</w:t>
      </w:r>
      <w:r>
        <w:t xml:space="preserve"> </w:t>
      </w:r>
      <w:r>
        <w:t xml:space="preserve">requirement of ~1.4 × 10¹⁰ N·s to impart 0.01 m s⁻¹ to a 1 km asteroid — for scale, the</w:t>
      </w:r>
      <w:r>
        <w:t xml:space="preserve"> </w:t>
      </w:r>
      <w:r>
        <w:t xml:space="preserve">DART impactor delivered ~1.2 × 10⁷ N·s</w:t>
      </w:r>
      <w:r>
        <w:t xml:space="preserve">8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it’s the benchmark any exotic</w:t>
      </w:r>
      <w:r>
        <w:t xml:space="preserve"> </w:t>
      </w:r>
      <w:r>
        <w:t xml:space="preserve">proposal has to beat. Here we put all three options side by side in the same units and let</w:t>
      </w:r>
      <w:r>
        <w:t xml:space="preserve"> </w:t>
      </w:r>
      <w:r>
        <w:t xml:space="preserve">the reader compare. Note the built-in scepticism: if our fancy wave-based method ever</w:t>
      </w:r>
      <w:r>
        <w:t xml:space="preserve"> </w:t>
      </w:r>
      <w:r>
        <w:rPr>
          <w:i/>
          <w:iCs/>
        </w:rPr>
        <w:t xml:space="preserve">beats</w:t>
      </w:r>
      <w:r>
        <w:t xml:space="preserve"> </w:t>
      </w:r>
      <w:r>
        <w:t xml:space="preserve">the boring one, we treat that as a probable bug to investigate before we’d treat</w:t>
      </w:r>
      <w:r>
        <w:t xml:space="preserve"> </w:t>
      </w:r>
      <w:r>
        <w:t xml:space="preserve">it as a discovery.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, in dependency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table above is the floor plan, one row per layer, listing</w:t>
      </w:r>
      <w:r>
        <w:t xml:space="preserve"> </w:t>
      </w:r>
      <w:r>
        <w:t xml:space="preserve">what each is responsible for. Note the entry for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layer: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 the new gravitational one, with the</w:t>
      </w:r>
      <w:r>
        <w:t xml:space="preserve"> </w:t>
      </w:r>
      <w:r>
        <w:t xml:space="preserve">old one explicitly labelled so nobody mistakes it for physics. Keeping a known-good wrong</w:t>
      </w:r>
      <w:r>
        <w:t xml:space="preserve"> </w:t>
      </w:r>
      <w:r>
        <w:t xml:space="preserve">answer around on purpose, clearly marked, is how we prove the new answer is a careful</w:t>
      </w:r>
      <w:r>
        <w:t xml:space="preserve"> </w:t>
      </w:r>
      <w:r>
        <w:t xml:space="preserve">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4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4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4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4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4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4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4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4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4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4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4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4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4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4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4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4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4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4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4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4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4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4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4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47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X50d36f0463f7d834c3b918a087f6ce20c5ec82d"/>
    <w:p>
      <w:pPr>
        <w:pStyle w:val="Heading3"/>
      </w:pPr>
      <w:r>
        <w:t xml:space="preserve">Table 2 | Feasibility ledger —</w:t>
      </w:r>
      <w:r>
        <w:t xml:space="preserve"> </w:t>
      </w:r>
      <w:r>
        <w:rPr>
          <w:b/>
          <w:bCs/>
        </w:rPr>
        <w:t xml:space="preserve">STUB, awaiting R5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  <w:tc>
          <w:tcPr/>
          <w:p>
            <w:pPr>
              <w:pStyle w:val="Compac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 (aperture)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wavelengths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Coupling (impulse)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Magnitude (emission)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scorecard, currently blank pending the experiments. When</w:t>
      </w:r>
      <w:r>
        <w:t xml:space="preserve"> </w:t>
      </w:r>
      <w:r>
        <w:t xml:space="preserve">filled in, each row will read: here’s what we achieve, here’s what’s required, and here’s</w:t>
      </w:r>
      <w:r>
        <w:t xml:space="preserve"> </w:t>
      </w:r>
      <w:r>
        <w:t xml:space="preserve">the shortfall expressed in powers of ten. The final column records where each number came</w:t>
      </w:r>
      <w:r>
        <w:t xml:space="preserve"> </w:t>
      </w:r>
      <w:r>
        <w:t xml:space="preserve">from, so no figure can appear without a traceable origin.</w:t>
      </w:r>
    </w:p>
    <w:bookmarkEnd w:id="43"/>
    <w:bookmarkStart w:id="44" w:name="Xe2ddf0e31b84930d6cdbd4d1d07e02e50deeeb8"/>
    <w:p>
      <w:pPr>
        <w:pStyle w:val="Heading3"/>
      </w:pPr>
      <w:r>
        <w:t xml:space="preserve">Table 3 | Coupling channels compared —</w:t>
      </w:r>
      <w:r>
        <w:t xml:space="preserve"> </w:t>
      </w:r>
      <w:r>
        <w:rPr>
          <w:b/>
          <w:bCs/>
        </w:rPr>
        <w:t xml:space="preserve">STUB, awaiting R6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honest headline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Expected negligible; reported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The benchmark any proposal must beat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to be compared</w:t>
      </w:r>
      <w:r>
        <w:t xml:space="preserve"> </w:t>
      </w:r>
      <w:r>
        <w:t xml:space="preserve">side by side once measured. Note the middle row: we expect it to be so small as to be</w:t>
      </w:r>
      <w:r>
        <w:t xml:space="preserve"> </w:t>
      </w:r>
      <w:r>
        <w:t xml:space="preserve">irrelevant, and we’re reporting it</w:t>
      </w:r>
      <w:r>
        <w:t xml:space="preserve"> </w:t>
      </w:r>
      <w:r>
        <w:rPr>
          <w:b/>
          <w:bCs/>
        </w:rPr>
        <w:t xml:space="preserve">anyway</w:t>
      </w:r>
      <w:r>
        <w:t xml:space="preserve">, because silently omitting the unflattering</w:t>
      </w:r>
      <w:r>
        <w:t xml:space="preserve"> </w:t>
      </w:r>
      <w:r>
        <w:t xml:space="preserve">option is how honest comparisons turn into sales pitches.</w:t>
      </w:r>
    </w:p>
    <w:bookmarkEnd w:id="44"/>
    <w:bookmarkStart w:id="45" w:name="figure-legends"/>
    <w:p>
      <w:pPr>
        <w:pStyle w:val="Heading3"/>
      </w:pPr>
      <w:r>
        <w:t xml:space="preserve">Figure legends</w:t>
      </w:r>
    </w:p>
    <w:p>
      <w:pPr>
        <w:pStyle w:val="FigurePlaceholder"/>
      </w:pPr>
      <w:r>
        <w:t xml:space="preserve">[ FIGURE 1 GOES HERE — Framework architecture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1 | Framework architecture.</w:t>
      </w:r>
      <w:r>
        <w:t xml:space="preserve"> </w:t>
      </w:r>
      <w:r>
        <w:t xml:space="preserve">Nine-layer dependency graph with the two</w:t>
      </w:r>
      <w:r>
        <w:t xml:space="preserve"> </w:t>
      </w:r>
      <w:r>
        <w:t xml:space="preserve">governance-motivated layers (</w:t>
      </w:r>
      <w:r>
        <w:rPr>
          <w:rStyle w:val="VerbatimChar"/>
        </w:rPr>
        <w:t xml:space="preserve">ledger</w:t>
      </w:r>
      <w:r>
        <w:t xml:space="preserve">, conservation stamping within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highlighted,</w:t>
      </w:r>
      <w:r>
        <w:t xml:space="preserve"> </w:t>
      </w:r>
      <w:r>
        <w:t xml:space="preserve">annotated with the equation IDs each layer implements.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2 GOES HERE — The provenance apparatus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How citation CI, the claims registry, the assumption</w:t>
      </w:r>
      <w:r>
        <w:t xml:space="preserve"> </w:t>
      </w:r>
      <w:r>
        <w:t xml:space="preserve">ledger, the errata file and the unphysicality stamp interlock, and which failure mode each</w:t>
      </w:r>
      <w:r>
        <w:t xml:space="preserve"> </w:t>
      </w:r>
      <w:r>
        <w:t xml:space="preserve">was added in response to.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3 GOES HERE — Element mismatch is cos(2Δψ), not cos(Δψ)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3 | Element mismatch is cos(2Δψ), not cos(Δψ).</w:t>
      </w:r>
      <w:r>
        <w:t xml:space="preserve"> </w:t>
      </w:r>
      <w:r>
        <w:t xml:space="preserve">Measured array gain versus relative</w:t>
      </w:r>
      <w:r>
        <w:t xml:space="preserve"> </w:t>
      </w:r>
      <w:r>
        <w:t xml:space="preserve">element orientation, with the spin-1 prediction overplotted; the complete cancellation at</w:t>
      </w:r>
      <w:r>
        <w:t xml:space="preserve"> </w:t>
      </w:r>
      <w:r>
        <w:t xml:space="preserve">90° annotated.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4 GOES HERE — Spin-2 alignment tolerance is exactly twice as tight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Gain fraction versus</w:t>
      </w:r>
      <w:r>
        <w:t xml:space="preserve"> </w:t>
      </w:r>
      <w:r>
        <w:t xml:space="preserve">orientation jitter σ, against exp(−4σ²) and exp(−σ²); the 1% loss points at 2.87° and 5.73°</w:t>
      </w:r>
      <w:r>
        <w:t xml:space="preserve"> </w:t>
      </w:r>
      <w:r>
        <w:t xml:space="preserve">marked.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5 GOES HERE — Degeneracy breaking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5 | Degeneracy breaking.</w:t>
      </w:r>
      <w:r>
        <w:t xml:space="preserve"> </w:t>
      </w:r>
      <w:r>
        <w:t xml:space="preserve">Radiated quadrupole amplitude versus radius at fixed mass</w:t>
      </w:r>
      <w:r>
        <w:t xml:space="preserve"> </w:t>
      </w:r>
      <w:r>
        <w:t xml:space="preserve">for the rigid, elastic and finite-size models. The rigid trace should lie on the numerical</w:t>
      </w:r>
      <w:r>
        <w:t xml:space="preserve"> </w:t>
      </w:r>
      <w:r>
        <w:t xml:space="preserve">floor.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FigurePlaceholder"/>
      </w:pPr>
      <w:r>
        <w:t xml:space="preserve">[ FIGURE 6 GOES HERE — Mode-locked spatiotemporal focus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6 | Mode-locked spatiotemporal focus.</w:t>
      </w:r>
      <w:r>
        <w:t xml:space="preserve"> </w:t>
      </w:r>
      <w:r>
        <w:t xml:space="preserve">Focal-plane amplitude map and</w:t>
      </w:r>
      <w:r>
        <w:t xml:space="preserve"> </w:t>
      </w:r>
      <w:r>
        <w:t xml:space="preserve">peak-to-background ratio versus √N. Caption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state the D/λ of the geometry and that</w:t>
      </w:r>
      <w:r>
        <w:t xml:space="preserve"> </w:t>
      </w:r>
      <w:r>
        <w:t xml:space="preserve">the background reference is √(Nπ)/2, not √N.</w:t>
      </w:r>
      <w:r>
        <w:t xml:space="preserve"> </w:t>
      </w:r>
      <w:r>
        <w:rPr>
          <w:i/>
          <w:iCs/>
        </w:rPr>
        <w:t xml:space="preserve">Awaiting R4.</w:t>
      </w:r>
    </w:p>
    <w:p>
      <w:pPr>
        <w:pStyle w:val="FigurePlaceholder"/>
      </w:pPr>
      <w:r>
        <w:t xml:space="preserve">[ FIGURE 7 GOES HERE — The walls, in decades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7 | The walls, in decades.</w:t>
      </w:r>
      <w:r>
        <w:t xml:space="preserve"> </w:t>
      </w:r>
      <w:r>
        <w:t xml:space="preserve">Gap between achieved and required for each ledger row,</w:t>
      </w:r>
      <w:r>
        <w:t xml:space="preserve"> </w:t>
      </w:r>
      <w:r>
        <w:t xml:space="preserve">sorted, with the transducer problem shown as an explicitly out-of-scope bar.</w:t>
      </w:r>
      <w:r>
        <w:t xml:space="preserve"> </w:t>
      </w:r>
      <w:r>
        <w:rPr>
          <w:i/>
          <w:iCs/>
        </w:rPr>
        <w:t xml:space="preserve">Awaiting R5.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45"/>
    <w:bookmarkStart w:id="46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a committed</w:t>
      </w:r>
      <w:r>
        <w:t xml:space="preserve"> </w:t>
      </w:r>
      <w:r>
        <w:t xml:space="preserve">script. All numbers in the Main, Discussion, Methods and Table 1 are of this kind.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Pre-registered target</w:t>
      </w:r>
      <w:r>
        <w:t xml:space="preserve"> </w:t>
      </w:r>
      <w:r>
        <w:t xml:space="preserve">— stated in the Results stub as what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be measured. No</w:t>
      </w:r>
      <w:r>
        <w:t xml:space="preserve"> </w:t>
      </w:r>
      <w:r>
        <w:t xml:space="preserve">value is asserted.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stub display item.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does not belong in this manuscript.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48"/>
    <w:bookmarkStart w:id="49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Results campaign has not been run.</w:t>
      </w:r>
      <w:r>
        <w:t xml:space="preserve"> </w:t>
      </w:r>
      <w:r>
        <w:t xml:space="preserve">R2–R6 are stubs by design; R1 and R7 could</w:t>
      </w:r>
      <w:r>
        <w:t xml:space="preserve"> </w:t>
      </w:r>
      <w:r>
        <w:t xml:space="preserve">be written today.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(c) Still open.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claims a cross-check against ref. 4 eq. 302a</w:t>
      </w:r>
      <w:r>
        <w:t xml:space="preserve"> </w:t>
      </w:r>
      <w:r>
        <w:t xml:space="preserve">that no test executes.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25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2026-08-06T16:54:37Z</dcterms:created>
  <dcterms:modified xsi:type="dcterms:W3CDTF">2026-08-06T16:54:37Z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