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Xf461e95384ea953e38f74659cc2270f636b595b"/>
    <w:p>
      <w:pPr>
        <w:pStyle w:val="Heading1"/>
      </w:pPr>
      <w:r>
        <w:t xml:space="preserve">Provenance-enforced simulation of engineered gravitational radiation: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Main, Discussion, Methods</w:t>
      </w:r>
      <w:r>
        <w:t xml:space="preserve"> </w:t>
      </w:r>
      <w:r>
        <w:rPr>
          <w:b/>
          <w:bCs/>
        </w:rPr>
        <w:t xml:space="preserve">and Results</w:t>
      </w:r>
      <w:r>
        <w:t xml:space="preserve"> </w:t>
      </w:r>
      <w:r>
        <w:t xml:space="preserve">are written. The</w:t>
      </w:r>
      <w:r>
        <w:t xml:space="preserve"> </w:t>
      </w:r>
      <w:r>
        <w:t xml:space="preserve">Results section was drafted as a pre-registration and the campaign has since been run</w:t>
      </w:r>
      <w:r>
        <w:t xml:space="preserve"> </w:t>
      </w:r>
      <w:r>
        <w:t xml:space="preserve">(2026-08-03); its questions and falsifiers are unchanged from before the run. Five</w:t>
      </w:r>
      <w:r>
        <w:t xml:space="preserve"> </w:t>
      </w:r>
      <w:r>
        <w:t xml:space="preserve">figures and both data tables are populated from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Numbers here are</w:t>
      </w:r>
      <w:r>
        <w:t xml:space="preserve"> </w:t>
      </w:r>
      <w:r>
        <w:t xml:space="preserve">either committed test/benchmark outputs or campaign outputs, and each is traceable to a</w:t>
      </w:r>
      <w:r>
        <w:t xml:space="preserve"> </w:t>
      </w:r>
      <w:r>
        <w:t xml:space="preserve">named test or a campaign JSON — see §</w:t>
      </w:r>
      <w:r>
        <w:t xml:space="preserve">“Numbers in this draft”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figures are draft-quality and are the author’s to refine; the repository</w:t>
      </w:r>
      <w:r>
        <w:t xml:space="preserve"> </w:t>
      </w:r>
      <w:r>
        <w:t xml:space="preserve">is not yet public; and there is no author list or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. See §Submission notes.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t xml:space="preserve">Paul Day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Independent researcher.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b/>
          <w:bCs/>
        </w:rPr>
        <w:t xml:space="preserve">ORCID: to be registered before submission.</w:t>
      </w:r>
      <w:r>
        <w:t xml:space="preserve"> </w:t>
      </w:r>
      <w:r>
        <w:t xml:space="preserve">A project intended to outlive its authors</w:t>
      </w:r>
      <w:r>
        <w:t xml:space="preserve"> </w:t>
      </w:r>
      <w:r>
        <w:t xml:space="preserve">needs a durable identifier that survives an email address and a code-hosting handle; a</w:t>
      </w:r>
      <w:r>
        <w:t xml:space="preserve"> </w:t>
      </w:r>
      <w:r>
        <w:t xml:space="preserve">GitHub username is not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wrote this, and how to reach them. One outstanding item: a</w:t>
      </w:r>
      <w:r>
        <w:t xml:space="preserve"> </w:t>
      </w:r>
      <w:r>
        <w:t xml:space="preserve">permanent researcher ID number, which matters more here than usual because the project is</w:t>
      </w:r>
      <w:r>
        <w:t xml:space="preserve"> </w:t>
      </w:r>
      <w:r>
        <w:t xml:space="preserve">meant to continue long after the people who started it have stopped.</w:t>
      </w:r>
    </w:p>
    <w:p>
      <w:r>
        <w:pict>
          <v:rect style="width:0;height:1.5pt" o:hralign="center" o:hrstd="t" o:hr="t"/>
        </w:pict>
      </w:r>
    </w:p>
    <w:bookmarkEnd w:id="9"/>
    <w:bookmarkStart w:id="1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/>
          <w:bCs/>
        </w:rPr>
        <w:t xml:space="preserve">P.D.</w:t>
      </w:r>
      <w:r>
        <w:t xml:space="preserve"> </w:t>
      </w:r>
      <w:r>
        <w:t xml:space="preserve">conceived the project, set its scope and governance rules, made every scoping and</w:t>
      </w:r>
      <w:r>
        <w:t xml:space="preserve"> </w:t>
      </w:r>
      <w:r>
        <w:t xml:space="preserve">acceptance decision, and is accountable for all claims herein. CRediT: conceptualization,</w:t>
      </w:r>
      <w:r>
        <w:t xml:space="preserve"> </w:t>
      </w:r>
      <w:r>
        <w:t xml:space="preserve">methodology, software, validation, formal analysis, investigation, data curation,</w:t>
      </w:r>
      <w:r>
        <w:t xml:space="preserve"> </w:t>
      </w:r>
      <w:r>
        <w:t xml:space="preserve">writing — original draft, writing — review and editing, supervision, project administration.</w:t>
      </w:r>
    </w:p>
    <w:p>
      <w:pPr>
        <w:pStyle w:val="BodyText"/>
      </w:pPr>
      <w:r>
        <w:rPr>
          <w:b/>
          <w:bCs/>
        </w:rPr>
        <w:t xml:space="preserve">AI assistance, disclosed.</w:t>
      </w:r>
      <w:r>
        <w:t xml:space="preserve"> </w:t>
      </w:r>
      <w:r>
        <w:t xml:space="preserve">This work was produced with extensive assistance from</w:t>
      </w:r>
      <w:r>
        <w:t xml:space="preserve"> </w:t>
      </w:r>
      <w:r>
        <w:t xml:space="preserve">Anthropic’s Claude, used for implementation, derivation, literature verification, review and</w:t>
      </w:r>
      <w:r>
        <w:t xml:space="preserve"> </w:t>
      </w:r>
      <w:r>
        <w:t xml:space="preserve">drafting. As of commit</w:t>
      </w:r>
      <w:r>
        <w:t xml:space="preserve"> </w:t>
      </w:r>
      <w:r>
        <w:rPr>
          <w:rStyle w:val="VerbatimChar"/>
        </w:rPr>
        <w:t xml:space="preserve">93f215c</w:t>
      </w:r>
      <w:r>
        <w:t xml:space="preserve"> </w:t>
      </w:r>
      <w:r>
        <w:t xml:space="preserve">(2026-08-06), 55 of 61 commits carry a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trailer naming the model — 35 Claude Opus 5, 20 Claude Sonnet 5 — and those trailers, not</w:t>
      </w:r>
      <w:r>
        <w:t xml:space="preserve"> </w:t>
      </w:r>
      <w:r>
        <w:t xml:space="preserve">this paragraph, are the authoritative record.</w:t>
      </w:r>
    </w:p>
    <w:p>
      <w:pPr>
        <w:pStyle w:val="BodyText"/>
      </w:pPr>
      <w:r>
        <w:rPr>
          <w:b/>
          <w:bCs/>
        </w:rPr>
        <w:t xml:space="preserve">The models are not authors and are not eligible to be.</w:t>
      </w:r>
      <w:r>
        <w:t xml:space="preserve"> </w:t>
      </w:r>
      <w:r>
        <w:t xml:space="preserve">Nature, Science and all</w:t>
      </w:r>
      <w:r>
        <w:t xml:space="preserve"> </w:t>
      </w:r>
      <w:r>
        <w:t xml:space="preserve">Springer-Nature journals hold that Large Language Models do not satisfy authorship</w:t>
      </w:r>
      <w:r>
        <w:t xml:space="preserve"> </w:t>
      </w:r>
      <w:r>
        <w:t xml:space="preserve">criteria, because authorship carries accountability that cannot be assigned to a</w:t>
      </w:r>
      <w:r>
        <w:t xml:space="preserve"> </w:t>
      </w:r>
      <w:r>
        <w:t xml:space="preserve">tool</w:t>
      </w:r>
      <w:r>
        <w:t xml:space="preserve">23</w:t>
      </w:r>
      <w:r>
        <w:t xml:space="preserve">. Disclosure is required; authorship is prohibited. Accountability for</w:t>
      </w:r>
      <w:r>
        <w:t xml:space="preserve"> </w:t>
      </w:r>
      <w:r>
        <w:t xml:space="preserve">every claim here rests with the human author.</w:t>
      </w:r>
    </w:p>
    <w:p>
      <w:pPr>
        <w:pStyle w:val="BodyText"/>
      </w:pPr>
      <w:r>
        <w:t xml:space="preserve">We report this in unusual detail because the project’s own README states a falsifiable</w:t>
      </w:r>
      <w:r>
        <w:t xml:space="preserve"> </w:t>
      </w:r>
      <w:r>
        <w:t xml:space="preserve">hypothesis about whether AI tooling lets an educated amateur produce work consistent with</w:t>
      </w:r>
      <w:r>
        <w:t xml:space="preserve"> </w:t>
      </w:r>
      <w:r>
        <w:t xml:space="preserve">the literature — and because the honest answer includes the failures. Over the development</w:t>
      </w:r>
      <w:r>
        <w:t xml:space="preserve"> </w:t>
      </w:r>
      <w:r>
        <w:t xml:space="preserve">period the framework’s own audit machinery found</w:t>
      </w:r>
      <w:r>
        <w:t xml:space="preserve"> </w:t>
      </w:r>
      <w:r>
        <w:rPr>
          <w:b/>
          <w:bCs/>
        </w:rPr>
        <w:t xml:space="preserve">seven defects in its own records</w:t>
      </w:r>
      <w:r>
        <w:t xml:space="preserve">,</w:t>
      </w:r>
      <w:r>
        <w:t xml:space="preserve"> </w:t>
      </w:r>
      <w:r>
        <w:t xml:space="preserve">including a citation that pointed at the wrong equation for the manuscript’s central claim</w:t>
      </w:r>
      <w:r>
        <w:t xml:space="preserve"> </w:t>
      </w:r>
      <w:r>
        <w:t xml:space="preserve">(EQ-040), an alignment-precision figure quoted more tightly than any test enforced, and an</w:t>
      </w:r>
      <w:r>
        <w:t xml:space="preserve"> </w:t>
      </w:r>
      <w:r>
        <w:t xml:space="preserve">architecture description contradicted by the import graph. Each is logged with a date and a</w:t>
      </w:r>
      <w:r>
        <w:t xml:space="preserve"> </w:t>
      </w:r>
      <w:r>
        <w:t xml:space="preserve">reason in</w:t>
      </w:r>
      <w:r>
        <w:t xml:space="preserve"> </w:t>
      </w:r>
      <w:r>
        <w:rPr>
          <w:rStyle w:val="VerbatimChar"/>
        </w:rPr>
        <w:t xml:space="preserve">docs/CLAIMS.md</w:t>
      </w:r>
      <w:r>
        <w:t xml:space="preserve"> </w:t>
      </w:r>
      <w:r>
        <w:t xml:space="preserve">rather than silently corrected. A case study that reported only</w:t>
      </w:r>
      <w:r>
        <w:t xml:space="preserve"> </w:t>
      </w:r>
      <w:r>
        <w:t xml:space="preserve">the successes would be measuring the wrong thing.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did what, and an unusually detailed account of how much of</w:t>
      </w:r>
      <w:r>
        <w:t xml:space="preserve"> </w:t>
      </w:r>
      <w:r>
        <w:t xml:space="preserve">this was done with AI help. The short version: a lot — roughly nine commits in ten involved</w:t>
      </w:r>
      <w:r>
        <w:t xml:space="preserve"> </w:t>
      </w:r>
      <w:r>
        <w:t xml:space="preserve">it. The AI is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listed as an author, because every major scientific</w:t>
      </w:r>
      <w:r>
        <w:t xml:space="preserve"> </w:t>
      </w:r>
      <w:r>
        <w:t xml:space="preserve">publisher forbids it: being an author means being answerable for the work, and a tool</w:t>
      </w:r>
      <w:r>
        <w:t xml:space="preserve"> </w:t>
      </w:r>
      <w:r>
        <w:t xml:space="preserve">cannot be answerable. So the human is accountable for all of it, and the AI use is</w:t>
      </w:r>
      <w:r>
        <w:t xml:space="preserve"> </w:t>
      </w:r>
      <w:r>
        <w:t xml:space="preserve">disclosed instead. We give the numbers rather than a vague acknowledgement because this</w:t>
      </w:r>
      <w:r>
        <w:t xml:space="preserve"> </w:t>
      </w:r>
      <w:r>
        <w:t xml:space="preserve">project has publicly bet that this way of working can produce sound results — and a bet</w:t>
      </w:r>
      <w:r>
        <w:t xml:space="preserve"> </w:t>
      </w:r>
      <w:r>
        <w:t xml:space="preserve">you report selectively isn’t a bet. That includes listing the seven mistakes the project</w:t>
      </w:r>
      <w:r>
        <w:t xml:space="preserve"> </w:t>
      </w:r>
      <w:r>
        <w:t xml:space="preserve">caught in its own paperwork.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1"/>
    <w:bookmarkStart w:id="16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2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</w:t>
      </w:r>
      <w:r>
        <w:t xml:space="preserve">16</w:t>
      </w:r>
      <w:r>
        <w:t xml:space="preserve">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2"/>
    <w:bookmarkStart w:id="13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3"/>
    <w:bookmarkStart w:id="14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4"/>
    <w:bookmarkStart w:id="15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7" w:name="Xc0913c212bb8b0c1730e82d1901b32c267d1df6"/>
      <w:r>
        <w:t xml:space="preserve">✅ Campaign run 2026-08-03 — pre-registration honoured</w:t>
      </w:r>
      <w:bookmarkEnd w:id="17"/>
    </w:p>
    <w:p>
      <w:pPr>
        <w:pStyle w:val="BlockText"/>
      </w:pPr>
      <w:r>
        <w:t xml:space="preserve">This section was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was run, in the</w:t>
      </w:r>
      <w:r>
        <w:t xml:space="preserve"> </w:t>
      </w:r>
      <w:r>
        <w:t xml:space="preserve">pre-registration style, so that the analysis plan could not be adjusted after seeing</w:t>
      </w:r>
      <w:r>
        <w:t xml:space="preserve"> </w:t>
      </w:r>
      <w:r>
        <w:t xml:space="preserve">the outcome.</w:t>
      </w:r>
      <w:r>
        <w:t xml:space="preserve"> </w:t>
      </w:r>
      <w:r>
        <w:rPr>
          <w:b/>
          <w:bCs/>
        </w:rPr>
        <w:t xml:space="preserve">It has now been run and the questions, runs and falsifiers below are</w:t>
      </w:r>
      <w:r>
        <w:rPr>
          <w:b/>
          <w:bCs/>
        </w:rPr>
        <w:t xml:space="preserve"> </w:t>
      </w:r>
      <w:r>
        <w:rPr>
          <w:b/>
          <w:bCs/>
        </w:rPr>
        <w:t xml:space="preserve">exactly as they stood beforehand</w:t>
      </w:r>
      <w:r>
        <w:t xml:space="preserve"> </w:t>
      </w:r>
      <w:r>
        <w:t xml:space="preserve">— only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paragraphs were added.</w:t>
      </w:r>
    </w:p>
    <w:p>
      <w:pPr>
        <w:pStyle w:val="BlockText"/>
      </w:pPr>
      <w:r>
        <w:t xml:space="preserve">Verdicts:</w:t>
      </w:r>
      <w:r>
        <w:t xml:space="preserve"> </w:t>
      </w:r>
      <w:r>
        <w:rPr>
          <w:b/>
          <w:bCs/>
        </w:rPr>
        <w:t xml:space="preserve">R1 partially available · R2 CONFIRMED · R3 CONFIRMED · R4 CONFIRMED ·</w:t>
      </w:r>
      <w:r>
        <w:rPr>
          <w:b/>
          <w:bCs/>
        </w:rPr>
        <w:t xml:space="preserve"> </w:t>
      </w:r>
      <w:r>
        <w:rPr>
          <w:b/>
          <w:bCs/>
        </w:rPr>
        <w:t xml:space="preserve">R5 CONFIRMED WITH A FLAGGED FINDING · R6 CONFIRMED · R7 available.</w:t>
      </w:r>
    </w:p>
    <w:p>
      <w:pPr>
        <w:pStyle w:val="BlockText"/>
      </w:pPr>
      <w:r>
        <w:t xml:space="preserve">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; outputs, figures and the run manifest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The runner evaluates each falsifier itself and returns a</w:t>
      </w:r>
      <w:r>
        <w:t xml:space="preserve"> </w:t>
      </w:r>
      <w:r>
        <w:t xml:space="preserve">verdict, so a campaign that failed would say so rather than requiring interpretation.</w:t>
      </w:r>
    </w:p>
    <w:p>
      <w:pPr>
        <w:pStyle w:val="BlockText"/>
      </w:pPr>
      <w:r>
        <w:t xml:space="preserve">Each subsection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the verdict, added only after the run.</w:t>
      </w:r>
    </w:p>
    <w:p>
      <w:pPr>
        <w:pStyle w:val="BlockText"/>
      </w:pPr>
      <w:r>
        <w:rPr>
          <w:b/>
          <w:bCs/>
        </w:rPr>
        <w:t xml:space="preserve">Filling rule, as applied.</w:t>
      </w:r>
      <w:r>
        <w:t xml:space="preserve"> </w:t>
      </w:r>
      <w:r>
        <w:t xml:space="preserve">A subsection may only be completed from a committed run</w:t>
      </w:r>
      <w:r>
        <w:t xml:space="preserve"> </w:t>
      </w:r>
      <w:r>
        <w:t xml:space="preserve">whose manifest appears in the Source Data. Every number below is reproducible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 </w:t>
      </w:r>
      <w:r>
        <w:t xml:space="preserve">and traceable to a</w:t>
      </w:r>
      <w:r>
        <w:t xml:space="preserve"> </w:t>
      </w:r>
      <w:r>
        <w:rPr>
          <w:rStyle w:val="VerbatimChar"/>
        </w:rPr>
        <w:t xml:space="preserve">campaign/R&lt;n&gt;.json</w:t>
      </w:r>
      <w:r>
        <w:t xml:space="preserve">. Prose was</w:t>
      </w:r>
      <w:r>
        <w:t xml:space="preserve"> </w:t>
      </w:r>
      <w:r>
        <w:t xml:space="preserve">written only after the number it describes existed — including, in R5, a result we</w:t>
      </w:r>
      <w:r>
        <w:t xml:space="preserve"> </w:t>
      </w:r>
      <w:r>
        <w:t xml:space="preserve">would not have chosen.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8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8"/>
    <w:bookmarkStart w:id="19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campaign/R2.json</w:t>
      </w:r>
      <w:r>
        <w:t xml:space="preserve">; Fig. 3, Fig. 4).</w:t>
      </w:r>
    </w:p>
    <w:p>
      <w:pPr>
        <w:pStyle w:val="BodyText"/>
      </w:pPr>
      <w:r>
        <w:t xml:space="preserve">The mismatch law is not merely reproduced at N elements — it is</w:t>
      </w:r>
      <w:r>
        <w:t xml:space="preserve"> </w:t>
      </w:r>
      <w:r>
        <w:rPr>
          <w:b/>
          <w:bCs/>
        </w:rPr>
        <w:t xml:space="preserve">exact and</w:t>
      </w:r>
      <w:r>
        <w:rPr>
          <w:b/>
          <w:bCs/>
        </w:rPr>
        <w:t xml:space="preserve"> </w:t>
      </w:r>
      <w:r>
        <w:rPr>
          <w:b/>
          <w:bCs/>
        </w:rPr>
        <w:t xml:space="preserve">N-independent</w:t>
      </w:r>
      <w:r>
        <w:t xml:space="preserve">. For an array split evenly between two orientations, gain/N² follows</w:t>
      </w:r>
      <w:r>
        <w:t xml:space="preserve"> </w:t>
      </w:r>
      <w:r>
        <w:t xml:space="preserve">cos²(Δψ) with a maximum absolute deviation of</w:t>
      </w:r>
      <w:r>
        <w:t xml:space="preserve"> </w:t>
      </w:r>
      <w:r>
        <w:rPr>
          <w:b/>
          <w:bCs/>
        </w:rPr>
        <w:t xml:space="preserve">4.5 × 10⁻¹⁴</w:t>
      </w:r>
      <w:r>
        <w:t xml:space="preserve"> </w:t>
      </w:r>
      <w:r>
        <w:t xml:space="preserve">across</w:t>
      </w:r>
      <w:r>
        <w:t xml:space="preserve"> </w:t>
      </w:r>
      <w:r>
        <w:t xml:space="preserve">N ∈ {2, 16, 64, 100, 1000}; the residual grows only mildly with N, consistent with</w:t>
      </w:r>
      <w:r>
        <w:t xml:space="preserve"> </w:t>
      </w:r>
      <w:r>
        <w:t xml:space="preserve">floating-point accumulation and nothing else (Fig. 3, lower panel).</w:t>
      </w:r>
      <w:r>
        <w:t xml:space="preserve"> </w:t>
      </w:r>
      <w:r>
        <w:rPr>
          <w:b/>
          <w:bCs/>
        </w:rPr>
        <w:t xml:space="preserve">The 90° cancellation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at every N</w:t>
      </w:r>
      <w:r>
        <w:t xml:space="preserve">, measured at 3.75 × 10⁻³³ — machine zero — where spin-1 reasoning</w:t>
      </w:r>
      <w:r>
        <w:t xml:space="preserve"> </w:t>
      </w:r>
      <w:r>
        <w:t xml:space="preserve">predicts 0.5. The two-element result of Table 1 is therefore not a special case; it is the</w:t>
      </w:r>
      <w:r>
        <w:t xml:space="preserve"> </w:t>
      </w:r>
      <w:r>
        <w:t xml:space="preserve">law.</w:t>
      </w:r>
    </w:p>
    <w:p>
      <w:pPr>
        <w:pStyle w:val="BodyText"/>
      </w:pPr>
      <w:r>
        <w:t xml:space="preserve">The alignment tolerance is equally decisive. Against the finite-N form</w:t>
      </w:r>
      <w:r>
        <w:t xml:space="preserve"> </w:t>
      </w:r>
      <w:r>
        <w:t xml:space="preserve">exp(−4σ²) + (1 − exp(−4σ²))/N, the worst deviation over σ ∈ [0°, 20°] at N = 200 is</w:t>
      </w:r>
      <w:r>
        <w:t xml:space="preserve"> </w:t>
      </w:r>
      <w:r>
        <w:rPr>
          <w:b/>
          <w:bCs/>
        </w:rPr>
        <w:t xml:space="preserve">1.3 × 10⁻³</w:t>
      </w:r>
      <w:r>
        <w:t xml:space="preserve">; against the spin-1 law exp(−σ²) it is</w:t>
      </w:r>
      <w:r>
        <w:t xml:space="preserve"> </w:t>
      </w:r>
      <w:r>
        <w:rPr>
          <w:b/>
          <w:bCs/>
        </w:rPr>
        <w:t xml:space="preserve">2.7 × 10⁻¹</w:t>
      </w:r>
      <w:r>
        <w:t xml:space="preserve">. The spin-2 law fits</w:t>
      </w:r>
      <w:r>
        <w:t xml:space="preserve"> </w:t>
      </w:r>
      <w:r>
        <w:rPr>
          <w:b/>
          <w:bCs/>
        </w:rPr>
        <w:t xml:space="preserve">201× better</w:t>
      </w:r>
      <w:r>
        <w:t xml:space="preserve">, and the discrimination is visible by eye (Fig. 4). σ ≤ 2.87° for 1% loss</w:t>
      </w:r>
      <w:r>
        <w:t xml:space="preserve"> </w:t>
      </w:r>
      <w:r>
        <w:t xml:space="preserve">stands.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had proved the new rotation rules using only two emitters.</w:t>
      </w:r>
      <w:r>
        <w:t xml:space="preserve"> </w:t>
      </w:r>
      <w:r>
        <w:t xml:space="preserve">They hold for sixteen, a hundred, a thousand — and better than we expected: the law turns</w:t>
      </w:r>
      <w:r>
        <w:t xml:space="preserve"> </w:t>
      </w:r>
      <w:r>
        <w:t xml:space="preserve">out not to depend on the number of emitters at all. The 90° cancellation is exact at every</w:t>
      </w:r>
      <w:r>
        <w:t xml:space="preserve"> </w:t>
      </w:r>
      <w:r>
        <w:t xml:space="preserve">size, giving zero to thirty-three decimal places where radio theory promises half the</w:t>
      </w:r>
      <w:r>
        <w:t xml:space="preserve"> </w:t>
      </w:r>
      <w:r>
        <w:t xml:space="preserve">power. And when we compare our gravitational alignment formula against the radio one</w:t>
      </w:r>
      <w:r>
        <w:t xml:space="preserve"> </w:t>
      </w:r>
      <w:r>
        <w:t xml:space="preserve">across real data, ours fits</w:t>
      </w:r>
      <w:r>
        <w:t xml:space="preserve"> </w:t>
      </w:r>
      <w:r>
        <w:rPr>
          <w:b/>
          <w:bCs/>
        </w:rPr>
        <w:t xml:space="preserve">two hundred times better</w:t>
      </w:r>
      <w:r>
        <w:t xml:space="preserve">. This is the paper’s central</w:t>
      </w:r>
      <w:r>
        <w:t xml:space="preserve"> </w:t>
      </w:r>
      <w:r>
        <w:t xml:space="preserve">claim, and it survived every way we set out in advance to break it.</w:t>
      </w:r>
    </w:p>
    <w:bookmarkEnd w:id="19"/>
    <w:bookmarkStart w:id="20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</w:t>
      </w:r>
      <w:r>
        <w:t xml:space="preserve">13,14</w:t>
      </w:r>
      <w:r>
        <w:t xml:space="preserve">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campaign/R3.json</w:t>
      </w:r>
      <w:r>
        <w:t xml:space="preserve">; Fig. 5).</w:t>
      </w:r>
    </w:p>
    <w:p>
      <w:pPr>
        <w:pStyle w:val="BodyText"/>
      </w:pPr>
      <w:r>
        <w:t xml:space="preserve">Nine radii spanning exactly two decades (10 m – 1 km) at fixed M = 10¹⁵ kg.</w:t>
      </w:r>
      <w:r>
        <w:t xml:space="preserve"> </w:t>
      </w:r>
      <w:r>
        <w:rPr>
          <w:b/>
          <w:bCs/>
        </w:rPr>
        <w:t xml:space="preserve">The rigid</w:t>
      </w:r>
      <w:r>
        <w:rPr>
          <w:b/>
          <w:bCs/>
        </w:rPr>
        <w:t xml:space="preserve"> </w:t>
      </w:r>
      <w:r>
        <w:rPr>
          <w:b/>
          <w:bCs/>
        </w:rPr>
        <w:t xml:space="preserve">model is not merely at a floor — it is identically 0.0 at every radius</w:t>
      </w:r>
      <w:r>
        <w:t xml:space="preserve">, so the falsifier</w:t>
      </w:r>
      <w:r>
        <w:t xml:space="preserve"> </w:t>
      </w:r>
      <w:r>
        <w:t xml:space="preserve">could not have been closer to firing and did not. The elastic model varies by</w:t>
      </w:r>
      <w:r>
        <w:t xml:space="preserve"> </w:t>
      </w:r>
      <w:r>
        <w:rPr>
          <w:b/>
          <w:bCs/>
        </w:rPr>
        <w:t xml:space="preserve">7.6 × 10⁴ ×</w:t>
      </w:r>
      <w:r>
        <w:t xml:space="preserve"> </w:t>
      </w:r>
      <w:r>
        <w:t xml:space="preserve">(osmium),</w:t>
      </w:r>
      <w:r>
        <w:t xml:space="preserve"> </w:t>
      </w:r>
      <w:r>
        <w:rPr>
          <w:b/>
          <w:bCs/>
        </w:rPr>
        <w:t xml:space="preserve">1.0 × 10⁵ ×</w:t>
      </w:r>
      <w:r>
        <w:t xml:space="preserve"> </w:t>
      </w:r>
      <w:r>
        <w:t xml:space="preserve">(tungsten) and</w:t>
      </w:r>
      <w:r>
        <w:t xml:space="preserve"> </w:t>
      </w:r>
      <w:r>
        <w:rPr>
          <w:b/>
          <w:bCs/>
        </w:rPr>
        <w:t xml:space="preserve">2.1 × 10⁵ ×</w:t>
      </w:r>
      <w:r>
        <w:t xml:space="preserve"> </w:t>
      </w:r>
      <w:r>
        <w:t xml:space="preserve">(steel) across</w:t>
      </w:r>
      <w:r>
        <w:t xml:space="preserve"> </w:t>
      </w:r>
      <w:r>
        <w:t xml:space="preserve">the same sweep — five orders of magnitude of dependence on a parameter the rigid model</w:t>
      </w:r>
      <w:r>
        <w:t xml:space="preserve"> </w:t>
      </w:r>
      <w:r>
        <w:t xml:space="preserve">says is irrelevant. The finite-size mechanism, which is geometric and cannot depend on</w:t>
      </w:r>
      <w:r>
        <w:t xml:space="preserve"> </w:t>
      </w:r>
      <w:r>
        <w:t xml:space="preserve">density, contributes a departure from unity of 2.2 × 10⁻⁹ to 2.2 × 10⁻⁵ over the same</w:t>
      </w:r>
      <w:r>
        <w:t xml:space="preserve"> </w:t>
      </w:r>
      <w:r>
        <w:t xml:space="preserve">range at 1 kHz.</w:t>
      </w:r>
    </w:p>
    <w:p>
      <w:pPr>
        <w:pStyle w:val="BodyText"/>
      </w:pPr>
      <w:r>
        <w:t xml:space="preserve">Because the rigid result is an exact null rather than a small number, Fig. 5 plots it on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axis: a clamped line on the logarithmic panel would have been an invented</w:t>
      </w:r>
      <w:r>
        <w:t xml:space="preserve"> </w:t>
      </w:r>
      <w:r>
        <w:t xml:space="preserve">y-value reading as a measurement.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want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answer is a clean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total weight matters, and our measurement of that</w:t>
      </w:r>
      <w:r>
        <w:t xml:space="preserve"> </w:t>
      </w:r>
      <w:r>
        <w:t xml:space="preserve">is not</w:t>
      </w:r>
      <w:r>
        <w:t xml:space="preserve"> </w:t>
      </w:r>
      <w:r>
        <w:t xml:space="preserve">“very small”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exactly zero</w:t>
      </w:r>
      <w:r>
        <w:t xml:space="preserve">, at all nine sizes. Real objects flex, though, and</w:t>
      </w:r>
      <w:r>
        <w:t xml:space="preserve"> </w:t>
      </w:r>
      <w:r>
        <w:t xml:space="preserve">once you allow flexing, size and density matter enormously: up to 210,000× across the</w:t>
      </w:r>
      <w:r>
        <w:t xml:space="preserve"> </w:t>
      </w:r>
      <w:r>
        <w:t xml:space="preserve">sweep, differing by material. So the choice of what your emitter is made of stops being</w:t>
      </w:r>
      <w:r>
        <w:t xml:space="preserve"> </w:t>
      </w:r>
      <w:r>
        <w:t xml:space="preserve">cosmetic and becomes one of the few levers that actually exists.</w:t>
      </w:r>
    </w:p>
    <w:bookmarkEnd w:id="20"/>
    <w:bookmarkStart w:id="21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campaign/R4.json</w:t>
      </w:r>
      <w:r>
        <w:t xml:space="preserve">; Fig. 6).</w:t>
      </w:r>
    </w:p>
    <w:p>
      <w:pPr>
        <w:pStyle w:val="BodyText"/>
      </w:pPr>
      <w:r>
        <w:t xml:space="preserve">Run at 1 MHz, where the reference aperture spans D/λ = 17.7, 41.3 and 53.1 for</w:t>
      </w:r>
      <w:r>
        <w:t xml:space="preserve"> </w:t>
      </w:r>
      <w:r>
        <w:t xml:space="preserve">N = 16, 64, 100 —</w:t>
      </w:r>
      <w:r>
        <w:t xml:space="preserve"> </w:t>
      </w:r>
      <w:r>
        <w:rPr>
          <w:b/>
          <w:bCs/>
        </w:rPr>
        <w:t xml:space="preserve">every configuration super-wavelength</w:t>
      </w:r>
      <w:r>
        <w:t xml:space="preserve">, so trap (i) is honoured by</w:t>
      </w:r>
      <w:r>
        <w:t xml:space="preserve"> </w:t>
      </w:r>
      <w:r>
        <w:t xml:space="preserve">construction and recorded in the output rather than asserted. Peak-to-background measures</w:t>
      </w:r>
      <w:r>
        <w:t xml:space="preserve"> </w:t>
      </w:r>
      <w:r>
        <w:t xml:space="preserve">4.47, 9.01 and 10.94, a log–log slope against √N of</w:t>
      </w:r>
      <w:r>
        <w:t xml:space="preserve"> </w:t>
      </w:r>
      <w:r>
        <w:rPr>
          <w:b/>
          <w:bCs/>
        </w:rPr>
        <w:t xml:space="preserve">0.983</w:t>
      </w:r>
      <w:r>
        <w:t xml:space="preserve">.</w:t>
      </w:r>
    </w:p>
    <w:p>
      <w:pPr>
        <w:pStyle w:val="BodyText"/>
      </w:pPr>
      <w:r>
        <w:t xml:space="preserve">The most informative result is the residual. Against a naive √N the measured ratios sit</w:t>
      </w:r>
      <w:r>
        <w:t xml:space="preserve"> </w:t>
      </w:r>
      <w:r>
        <w:t xml:space="preserve">uniformly</w:t>
      </w:r>
      <w:r>
        <w:t xml:space="preserve"> </w:t>
      </w:r>
      <w:r>
        <w:rPr>
          <w:b/>
          <w:bCs/>
        </w:rPr>
        <w:t xml:space="preserve">12.6% high</w:t>
      </w:r>
      <w:r>
        <w:t xml:space="preserve">; against the Rayleigh-corrected prediction</w:t>
      </w:r>
      <w:r>
        <w:t xml:space="preserve"> </w:t>
      </w:r>
      <w:r>
        <w:t xml:space="preserve">N/(√(Nπ)/2) = 2√N/√π = 1.128√N they agree to</w:t>
      </w:r>
      <w:r>
        <w:t xml:space="preserve"> </w:t>
      </w:r>
      <w:r>
        <w:rPr>
          <w:b/>
          <w:bCs/>
        </w:rPr>
        <w:t xml:space="preserve">3.1%</w:t>
      </w:r>
      <w:r>
        <w:t xml:space="preserve">. ADR-0006 had warned in advance that</w:t>
      </w:r>
      <w:r>
        <w:t xml:space="preserve"> </w:t>
      </w:r>
      <w:r>
        <w:t xml:space="preserve">“an implementer chasing the 12% discrepancy would be chasing correct behaviour”</w:t>
      </w:r>
      <w:r>
        <w:t xml:space="preserve"> </w:t>
      </w:r>
      <w:r>
        <w:t xml:space="preserve">— the</w:t>
      </w:r>
      <w:r>
        <w:t xml:space="preserve"> </w:t>
      </w:r>
      <w:r>
        <w:t xml:space="preserve">campaign reproduces that 12% independently, and it is the signature of trap (iv) rather</w:t>
      </w:r>
      <w:r>
        <w:t xml:space="preserve"> </w:t>
      </w:r>
      <w:r>
        <w:t xml:space="preserve">than a defect. Fig. 6 plots both reference lines so the distinction is visible, not</w:t>
      </w:r>
      <w:r>
        <w:t xml:space="preserve"> </w:t>
      </w:r>
      <w:r>
        <w:t xml:space="preserve">merely footnoted.</w:t>
      </w:r>
    </w:p>
    <w:p>
      <w:pPr>
        <w:pStyle w:val="BodyText"/>
      </w:pPr>
      <w:r>
        <w:rPr>
          <w:b/>
          <w:bCs/>
        </w:rPr>
        <w:t xml:space="preserve">Four traps must be honoured in the analysis and stated in the caption</w:t>
      </w:r>
      <w:r>
        <w:t xml:space="preserve">, each of which</w:t>
      </w:r>
      <w:r>
        <w:t xml:space="preserve"> </w:t>
      </w:r>
      <w:r>
        <w:t xml:space="preserve">produces a measurement that looks successful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drive many emitters at frequencies</w:t>
      </w:r>
      <w:r>
        <w:t xml:space="preserve"> </w:t>
      </w:r>
      <w:r>
        <w:t xml:space="preserve">that never quite line up (prime numbers, so their rhythms take an extraordinarily long</w:t>
      </w:r>
      <w:r>
        <w:t xml:space="preserve"> </w:t>
      </w:r>
      <w:r>
        <w:t xml:space="preserve">time to repeat), and all the waves coincide at exactly</w:t>
      </w:r>
      <w:r>
        <w:t xml:space="preserve"> </w:t>
      </w:r>
      <w:r>
        <w:rPr>
          <w:b/>
          <w:bCs/>
        </w:rPr>
        <w:t xml:space="preserve">one point in space and time</w:t>
      </w:r>
      <w:r>
        <w:t xml:space="preserve"> </w:t>
      </w:r>
      <w:r>
        <w:t xml:space="preserve">—</w:t>
      </w:r>
      <w:r>
        <w:t xml:space="preserve"> </w:t>
      </w:r>
      <w:r>
        <w:t xml:space="preserve">a brief sharp spike instead of a spread-out beam. It works: the spike stands out from the</w:t>
      </w:r>
      <w:r>
        <w:t xml:space="preserve"> </w:t>
      </w:r>
      <w:r>
        <w:t xml:space="preserve">background by a factor that grows as the square root of the number of emitters, as</w:t>
      </w:r>
      <w:r>
        <w:t xml:space="preserve"> </w:t>
      </w:r>
      <w:r>
        <w:t xml:space="preserve">predicted.</w:t>
      </w:r>
    </w:p>
    <w:p>
      <w:pPr>
        <w:pStyle w:val="BodyText"/>
      </w:pPr>
      <w:r>
        <w:t xml:space="preserve">The most instructive part is a discrepancy we’d warned ourselves about in advance. Our</w:t>
      </w:r>
      <w:r>
        <w:t xml:space="preserve"> </w:t>
      </w:r>
      <w:r>
        <w:t xml:space="preserve">measurements came out 12.6% higher than the simple prediction — the kind of gap that</w:t>
      </w:r>
      <w:r>
        <w:t xml:space="preserve"> </w:t>
      </w:r>
      <w:r>
        <w:t xml:space="preserve">tempts you to go hunting for a bug. There is no bug. The simple prediction uses the wrong</w:t>
      </w:r>
      <w:r>
        <w:t xml:space="preserve"> </w:t>
      </w:r>
      <w:r>
        <w:t xml:space="preserve">formula for the background noise level, and once you use the right one the agreement is</w:t>
      </w:r>
      <w:r>
        <w:t xml:space="preserve"> </w:t>
      </w:r>
      <w:r>
        <w:t xml:space="preserve">3.1%. We’d written that warning down before running anything, and then reproduced the</w:t>
      </w:r>
      <w:r>
        <w:t xml:space="preserve"> </w:t>
      </w:r>
      <w:r>
        <w:t xml:space="preserve">exact number we’d warned about, which is a satisfying way to be right about being wrong.</w:t>
      </w:r>
    </w:p>
    <w:bookmarkEnd w:id="21"/>
    <w:bookmarkStart w:id="22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CONFIRMED, WITH A FLAGGED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campaign/R5.json</w:t>
      </w:r>
      <w:r>
        <w:t xml:space="preserve">; Table 2, Fig. 7).</w:t>
      </w:r>
    </w:p>
    <w:p>
      <w:pPr>
        <w:pStyle w:val="BodyText"/>
      </w:pPr>
      <w:r>
        <w:rPr>
          <w:b/>
          <w:bCs/>
        </w:rPr>
        <w:t xml:space="preserve">No wall vanished at the reported configuration</w:t>
      </w:r>
      <w:r>
        <w:t xml:space="preserve">, and the diffraction requirement</w:t>
      </w:r>
      <w:r>
        <w:t xml:space="preserve"> </w:t>
      </w:r>
      <w:r>
        <w:t xml:space="preserve">reproduces the framework’s independent scoping figures exactly: an aperture of</w:t>
      </w:r>
      <w:r>
        <w:t xml:space="preserve"> </w:t>
      </w:r>
      <w:r>
        <w:t xml:space="preserve">1.23 × 10⁷ AU at 1 Hz, 1.23 × 10⁴ AU at 1 kHz, and</w:t>
      </w:r>
      <w:r>
        <w:t xml:space="preserve"> </w:t>
      </w:r>
      <w:r>
        <w:rPr>
          <w:b/>
          <w:bCs/>
        </w:rPr>
        <w:t xml:space="preserve">12.3 AU at 1 MHz</w:t>
      </w:r>
      <w:r>
        <w:t xml:space="preserve">, matching</w:t>
      </w:r>
      <w:r>
        <w:t xml:space="preserve"> </w:t>
      </w:r>
      <w:r>
        <w:t xml:space="preserve">Methods’ 6 × 10⁹ wavelengths at any frequency. Against that, the 12.4 km reference</w:t>
      </w:r>
      <w:r>
        <w:t xml:space="preserve"> </w:t>
      </w:r>
      <w:r>
        <w:t xml:space="preserve">aperture achieves D/λ = 41.3, a shortfall of</w:t>
      </w:r>
      <w:r>
        <w:t xml:space="preserve"> </w:t>
      </w:r>
      <w:r>
        <w:rPr>
          <w:b/>
          <w:bCs/>
        </w:rPr>
        <w:t xml:space="preserve">8.16 decades</w:t>
      </w:r>
      <w:r>
        <w:t xml:space="preserve">, and the smallest spot it</w:t>
      </w:r>
      <w:r>
        <w:t xml:space="preserve"> </w:t>
      </w:r>
      <w:r>
        <w:t xml:space="preserve">can place at 40 AU is 1.5 × 10¹¹ m against a 1 km target — the −3 dB extent of a</w:t>
      </w:r>
      <w:r>
        <w:t xml:space="preserve"> </w:t>
      </w:r>
      <w:r>
        <w:t xml:space="preserve">uniformly illuminated circular aperture</w:t>
      </w:r>
      <w:r>
        <w:t xml:space="preserve">17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finding, which the pre-registered falsifier caught and which we report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suppress: the emission wall does not bind everywhere.</w:t>
      </w:r>
      <w:r>
        <w:t xml:space="preserve"> </w:t>
      </w:r>
      <w:r>
        <w:t xml:space="preserve">Reporting the gap</w:t>
      </w:r>
      <w:r>
        <w:t xml:space="preserve"> </w:t>
      </w:r>
      <w:r>
        <w:rPr>
          <w:i/>
          <w:iCs/>
        </w:rPr>
        <w:t xml:space="preserve">across the</w:t>
      </w:r>
      <w:r>
        <w:rPr>
          <w:i/>
          <w:iCs/>
        </w:rPr>
        <w:t xml:space="preserve"> </w:t>
      </w:r>
      <w:r>
        <w:rPr>
          <w:i/>
          <w:iCs/>
        </w:rPr>
        <w:t xml:space="preserve">scoping configuration set</w:t>
      </w:r>
      <w:r>
        <w:t xml:space="preserve">, as pre-registered, rather than for a single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configuration</w:t>
            </w:r>
          </w:p>
        </w:tc>
        <w:tc>
          <w:tcPr/>
          <w:p>
            <w:pPr>
              <w:pStyle w:val="Compact"/>
            </w:pPr>
            <w:r>
              <w:t xml:space="preserve">Radiated power</w:t>
            </w:r>
          </w:p>
        </w:tc>
        <w:tc>
          <w:tcPr/>
          <w:p>
            <w:pPr>
              <w:pStyle w:val="Compact"/>
            </w:pPr>
            <w:r>
              <w:t xml:space="preserve">Emission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 rod, 10 m, 1 kHz</w:t>
            </w:r>
          </w:p>
        </w:tc>
        <w:tc>
          <w:tcPr/>
          <w:p>
            <w:pPr>
              <w:pStyle w:val="Compact"/>
            </w:pPr>
            <w:r>
              <w:t xml:space="preserve">7.5 × 10⁻²⁰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+29.25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kHz</w:t>
            </w:r>
          </w:p>
        </w:tc>
        <w:tc>
          <w:tcPr/>
          <w:p>
            <w:pPr>
              <w:pStyle w:val="Compact"/>
            </w:pPr>
            <w:r>
              <w:t xml:space="preserve">7.5 × 10⁻² W</w:t>
            </w:r>
          </w:p>
        </w:tc>
        <w:tc>
          <w:tcPr/>
          <w:p>
            <w:pPr>
              <w:pStyle w:val="Compact"/>
            </w:pPr>
            <w:r>
              <w:t xml:space="preserve">+11.25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MHz</w:t>
            </w:r>
          </w:p>
        </w:tc>
        <w:tc>
          <w:tcPr/>
          <w:p>
            <w:pPr>
              <w:pStyle w:val="Compact"/>
            </w:pPr>
            <w:r>
              <w:t xml:space="preserve">7.5 × 10¹⁶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−6.75 decades</w:t>
            </w:r>
          </w:p>
        </w:tc>
      </w:tr>
    </w:tbl>
    <w:p>
      <w:pPr>
        <w:pStyle w:val="BodyText"/>
      </w:pPr>
      <w:r>
        <w:t xml:space="preserve">At 1 MHz the radiated momentum flux (~2.5 × 10⁸ N)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~43 N requirement — the sustained force needed to impart 0.01 m s⁻¹ to a 1 km asteroid over a decade, against which the DART impactor’s demonstrated ~1.2 × 10⁷ N·s is the only flown calibration</w:t>
      </w:r>
      <w:r>
        <w:t xml:space="preserve">8</w:t>
      </w:r>
      <w:r>
        <w:t xml:space="preserve"> </w:t>
      </w:r>
      <w:r>
        <w:t xml:space="preserve">— by</w:t>
      </w:r>
      <w:r>
        <w:t xml:space="preserve"> </w:t>
      </w:r>
      <w:r>
        <w:t xml:space="preserve">nearly seven orders of magnitude. That is not a defect: it is what the ω⁶ scaling means,</w:t>
      </w:r>
      <w:r>
        <w:t xml:space="preserve"> </w:t>
      </w:r>
      <w:r>
        <w:t xml:space="preserve">and it is PHYSICS.md’s own tabulated value.</w:t>
      </w:r>
      <w:r>
        <w:t xml:space="preserve"> </w:t>
      </w:r>
      <w:r>
        <w:rPr>
          <w:b/>
          <w:bCs/>
        </w:rPr>
        <w:t xml:space="preserve">It does not imply feasibility, for three</w:t>
      </w:r>
      <w:r>
        <w:rPr>
          <w:b/>
          <w:bCs/>
        </w:rPr>
        <w:t xml:space="preserve"> </w:t>
      </w:r>
      <w:r>
        <w:rPr>
          <w:b/>
          <w:bCs/>
        </w:rPr>
        <w:t xml:space="preserve">reasons that Fig. 7 states on its face.</w:t>
      </w:r>
      <w:r>
        <w:t xml:space="preserve"> </w:t>
      </w:r>
      <w:r>
        <w:t xml:space="preserve">(i) Coupling still binds — and binds hardest:</w:t>
      </w:r>
      <w:r>
        <w:t xml:space="preserve"> </w:t>
      </w:r>
      <w:r>
        <w:t xml:space="preserve">evaluated</w:t>
      </w:r>
      <w:r>
        <w:t xml:space="preserve"> </w:t>
      </w:r>
      <w:r>
        <w:rPr>
          <w:i/>
          <w:iCs/>
        </w:rPr>
        <w:t xml:space="preserve">at that same best-case source</w:t>
      </w:r>
      <w:r>
        <w:t xml:space="preserve">, the absorption channel is short by</w:t>
      </w:r>
      <w:r>
        <w:t xml:space="preserve"> </w:t>
      </w:r>
      <w:r>
        <w:rPr>
          <w:b/>
          <w:bCs/>
        </w:rPr>
        <w:t xml:space="preserve">14.0</w:t>
      </w:r>
      <w:r>
        <w:rPr>
          <w:b/>
          <w:bCs/>
        </w:rPr>
        <w:t xml:space="preserve"> </w:t>
      </w:r>
      <w:r>
        <w:rPr>
          <w:b/>
          <w:bCs/>
        </w:rPr>
        <w:t xml:space="preserve">decades</w:t>
      </w:r>
      <w:r>
        <w:t xml:space="preserve">, because radiated momentum flux is not delivered force (R6). (ii) Diffraction</w:t>
      </w:r>
      <w:r>
        <w:t xml:space="preserve"> </w:t>
      </w:r>
      <w:r>
        <w:t xml:space="preserve">still binds at 8.16 decades; the flux cannot be put on the target. (iii) The transducer</w:t>
      </w:r>
      <w:r>
        <w:t xml:space="preserve"> </w:t>
      </w:r>
      <w:r>
        <w:t xml:space="preserve">problem is out of scope by charter (conjecture C-1) — nothing can make a 10⁹ kg, 1 km body</w:t>
      </w:r>
      <w:r>
        <w:t xml:space="preserve"> </w:t>
      </w:r>
      <w:r>
        <w:t xml:space="preserve">oscillate at 1 MHz, and its absence from Fig. 7 is a scope statement, not a zero.</w:t>
      </w:r>
    </w:p>
    <w:p>
      <w:pPr>
        <w:pStyle w:val="BodyText"/>
      </w:pPr>
      <w:r>
        <w:rPr>
          <w:b/>
          <w:bCs/>
        </w:rPr>
        <w:t xml:space="preserve">A documentation correction follows from this.</w:t>
      </w:r>
      <w:r>
        <w:t xml:space="preserve"> </w:t>
      </w:r>
      <w:r>
        <w:t xml:space="preserve">README.md and Methods both state that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separate plausible engineered sources from</w:t>
      </w:r>
      <w:r>
        <w:t xml:space="preserve"> </w:t>
      </w:r>
      <w:r>
        <w:t xml:space="preserve">deflection-relevant power. The ledger does not reproduce that figure: the worst case over</w:t>
      </w:r>
      <w:r>
        <w:t xml:space="preserve"> </w:t>
      </w:r>
      <w:r>
        <w:t xml:space="preserve">the scoping set is</w:t>
      </w:r>
      <w:r>
        <w:t xml:space="preserve"> </w:t>
      </w:r>
      <w:r>
        <w:rPr>
          <w:b/>
          <w:bCs/>
        </w:rPr>
        <w:t xml:space="preserve">29.25 decades</w:t>
      </w:r>
      <w:r>
        <w:t xml:space="preserve">, and the range is −6.75 to +29.25. The qualitative</w:t>
      </w:r>
      <w:r>
        <w:t xml:space="preserve"> </w:t>
      </w:r>
      <w:r>
        <w:t xml:space="preserve">claim — that the gap is enormous and that frequency is the dominant lever — is unaffected;</w:t>
      </w:r>
      <w:r>
        <w:t xml:space="preserve"> </w:t>
      </w:r>
      <w:r>
        <w:t xml:space="preserve">the specific number was overstated by roughly eleven orders of magnitude and has been</w:t>
      </w:r>
      <w:r>
        <w:t xml:space="preserve"> </w:t>
      </w:r>
      <w:r>
        <w:t xml:space="preserve">corrected. This is the fifth stated-precision defect this project has found in its own</w:t>
      </w:r>
      <w:r>
        <w:t xml:space="preserve"> </w:t>
      </w:r>
      <w:r>
        <w:t xml:space="preserve">records, and the first found by the ledger rather than by reading a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in</w:t>
      </w:r>
      <w:r>
        <w:t xml:space="preserve"> </w:t>
      </w:r>
      <w:r>
        <w:t xml:space="preserve">detail, on purpose — and it produced the campaign’s one genuine surprise.</w:t>
      </w:r>
    </w:p>
    <w:p>
      <w:pPr>
        <w:pStyle w:val="BodyText"/>
      </w:pPr>
      <w:r>
        <w:t xml:space="preserve">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a beam onto a 1 km target at</w:t>
      </w:r>
      <w:r>
        <w:t xml:space="preserve"> </w:t>
      </w:r>
      <w:r>
        <w:t xml:space="preserve">Pluto’s distance your transmitter must be about twelve</w:t>
      </w:r>
      <w:r>
        <w:t xml:space="preserve"> </w:t>
      </w:r>
      <w:r>
        <w:rPr>
          <w:i/>
          <w:iCs/>
        </w:rPr>
        <w:t xml:space="preserve">astronomical units</w:t>
      </w:r>
      <w:r>
        <w:t xml:space="preserve"> </w:t>
      </w:r>
      <w:r>
        <w:t xml:space="preserve">across even at</w:t>
      </w:r>
      <w:r>
        <w:t xml:space="preserve"> </w:t>
      </w:r>
      <w:r>
        <w:t xml:space="preserve">the most favourable frequency — roughly the orbit of Saturn.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 wave</w:t>
      </w:r>
      <w:r>
        <w:t xml:space="preserve"> </w:t>
      </w:r>
      <w:r>
        <w:t xml:space="preserve">stretches and squeezes things rather than pushing them, so the asteroid would have to</w:t>
      </w:r>
      <w:r>
        <w:t xml:space="preserve"> </w:t>
      </w:r>
      <w:r>
        <w:t xml:space="preserve">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raw radiated power.</w:t>
      </w:r>
    </w:p>
    <w:p>
      <w:pPr>
        <w:pStyle w:val="BodyText"/>
      </w:pPr>
      <w:r>
        <w:t xml:space="preserve">The surprise is that the third wall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beaten. At high enough frequency the physics</w:t>
      </w:r>
      <w:r>
        <w:t xml:space="preserve"> </w:t>
      </w:r>
      <w:r>
        <w:t xml:space="preserve">says you would radiate ten million times more oomph than the job needs. We had pre-committed</w:t>
      </w:r>
      <w:r>
        <w:t xml:space="preserve"> </w:t>
      </w:r>
      <w:r>
        <w:t xml:space="preserve">to reporting any wall that disappeared, so we report it — and then say plainly why it</w:t>
      </w:r>
      <w:r>
        <w:t xml:space="preserve"> </w:t>
      </w:r>
      <w:r>
        <w:t xml:space="preserve">changes nothing. Beating the power wall while still failing the grip wall by fourteen</w:t>
      </w:r>
      <w:r>
        <w:t xml:space="preserve"> </w:t>
      </w:r>
      <w:r>
        <w:t xml:space="preserve">orders of magnitude and the focus wall by eight is like building a searchlight bright</w:t>
      </w:r>
      <w:r>
        <w:t xml:space="preserve"> </w:t>
      </w:r>
      <w:r>
        <w:t xml:space="preserve">enough to be seen from another galaxy and then discovering it cannot be aimed and that</w:t>
      </w:r>
      <w:r>
        <w:t xml:space="preserve"> </w:t>
      </w:r>
      <w:r>
        <w:t xml:space="preserve">nothing at the far end absorbs light. Also: nobody has any idea how to make a billion-kilo,</w:t>
      </w:r>
      <w:r>
        <w:t xml:space="preserve"> </w:t>
      </w:r>
      <w:r>
        <w:t xml:space="preserve">kilometre-wide object vibrate a million times a second, and we explicitly do not claim to.</w:t>
      </w:r>
    </w:p>
    <w:p>
      <w:pPr>
        <w:pStyle w:val="BodyText"/>
      </w:pPr>
      <w:r>
        <w:t xml:space="preserve">One honest correction fell out of this. Our own README said the shortfall was</w:t>
      </w:r>
      <w:r>
        <w:t xml:space="preserve"> </w:t>
      </w:r>
      <w:r>
        <w:t xml:space="preserve">“roughly 40</w:t>
      </w:r>
      <w:r>
        <w:t xml:space="preserve"> </w:t>
      </w:r>
      <w:r>
        <w:t xml:space="preserve">orders of magnitude.”</w:t>
      </w:r>
      <w:r>
        <w:t xml:space="preserve"> </w:t>
      </w:r>
      <w:r>
        <w:t xml:space="preserve">The actual measured worst case is about 29. Still absurd, but we had</w:t>
      </w:r>
      <w:r>
        <w:t xml:space="preserve"> </w:t>
      </w:r>
      <w:r>
        <w:t xml:space="preserve">been overstating our own hopelessness by eleven orders of magnitude, and the number is now</w:t>
      </w:r>
      <w:r>
        <w:t xml:space="preserve"> </w:t>
      </w:r>
      <w:r>
        <w:t xml:space="preserve">what the ledger says rather than what we remembered.</w:t>
      </w:r>
    </w:p>
    <w:bookmarkEnd w:id="22"/>
    <w:bookmarkStart w:id="23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campaign/R6.json</w:t>
      </w:r>
      <w:r>
        <w:t xml:space="preserve">; Table 3).</w:t>
      </w:r>
    </w:p>
    <w:p>
      <w:pPr>
        <w:pStyle w:val="BodyText"/>
      </w:pPr>
      <w:r>
        <w:t xml:space="preserve">The three channels, same configuration, same units. The</w:t>
      </w:r>
      <w:r>
        <w:t xml:space="preserve"> </w:t>
      </w:r>
      <w:r>
        <w:rPr>
          <w:b/>
          <w:bCs/>
        </w:rPr>
        <w:t xml:space="preserve">near-zone gravity tractor</w:t>
      </w:r>
      <w:r>
        <w:rPr>
          <w:b/>
          <w:bCs/>
        </w:rPr>
        <w:t xml:space="preserve"> </w:t>
      </w:r>
      <w:r>
        <w:rPr>
          <w:b/>
          <w:bCs/>
        </w:rPr>
        <w:t xml:space="preserve">delivers 3.32 N</w:t>
      </w:r>
      <w:r>
        <w:t xml:space="preserve"> </w:t>
      </w:r>
      <w:r>
        <w:t xml:space="preserve">against the ~43 N requirement — short by</w:t>
      </w:r>
      <w:r>
        <w:t xml:space="preserve"> </w:t>
      </w:r>
      <w:r>
        <w:rPr>
          <w:b/>
          <w:bCs/>
        </w:rPr>
        <w:t xml:space="preserve">1.11 decades</w:t>
      </w:r>
      <w:r>
        <w:t xml:space="preserve">. Radiative</w:t>
      </w:r>
      <w:r>
        <w:t xml:space="preserve"> </w:t>
      </w:r>
      <w:r>
        <w:t xml:space="preserve">absorption delivers</w:t>
      </w:r>
      <w:r>
        <w:t xml:space="preserve"> </w:t>
      </w:r>
      <w:r>
        <w:rPr>
          <w:b/>
          <w:bCs/>
        </w:rPr>
        <w:t xml:space="preserve">4.4 × 10⁻³¹ N</w:t>
      </w:r>
      <w:r>
        <w:t xml:space="preserve">, short by</w:t>
      </w:r>
      <w:r>
        <w:t xml:space="preserve"> </w:t>
      </w:r>
      <w:r>
        <w:rPr>
          <w:b/>
          <w:bCs/>
        </w:rPr>
        <w:t xml:space="preserve">32.0 decades</w:t>
      </w:r>
      <w:r>
        <w:t xml:space="preserve">, and the tidal channel</w:t>
      </w:r>
      <w:r>
        <w:t xml:space="preserve"> </w:t>
      </w:r>
      <w:r>
        <w:t xml:space="preserve">produces a strain rather than a force at all, short by 31.6 decades on its own terms.</w:t>
      </w:r>
    </w:p>
    <w:p>
      <w:pPr>
        <w:pStyle w:val="BodyText"/>
      </w:pPr>
      <w:r>
        <w:rPr>
          <w:b/>
          <w:bCs/>
        </w:rPr>
        <w:t xml:space="preserve">The ratio is the result: radiative coupling is 1.3 × 10⁻³¹ of the near-zone channel.</w:t>
      </w:r>
      <w:r>
        <w:t xml:space="preserve"> </w:t>
      </w:r>
      <w:r>
        <w:t xml:space="preserve">The falsifier — radiative exceeding near-zone anywhere — did not fire, and it was never</w:t>
      </w:r>
      <w:r>
        <w:t xml:space="preserve"> </w:t>
      </w:r>
      <w:r>
        <w:t xml:space="preserve">close. A 2005-vintage spacecraft parked next to the rock, using nothing but Newtonian</w:t>
      </w:r>
      <w:r>
        <w:t xml:space="preserve"> </w:t>
      </w:r>
      <w:r>
        <w:t xml:space="preserve">attraction, outperforms the entire radiative apparatus by thirty-one orders of magnitude</w:t>
      </w:r>
      <w:r>
        <w:t xml:space="preserve"> </w:t>
      </w:r>
      <w:r>
        <w:t xml:space="preserve">and sits within a factor of thirteen of actually working.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 is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 is the benchmark any exotic</w:t>
      </w:r>
      <w:r>
        <w:t xml:space="preserve"> </w:t>
      </w:r>
      <w:r>
        <w:t xml:space="preserve">proposal must beat.</w:t>
      </w:r>
    </w:p>
    <w:p>
      <w:pPr>
        <w:pStyle w:val="BodyText"/>
      </w:pPr>
      <w:r>
        <w:t xml:space="preserve">It is not close. The boring option delivers about 3 newtons — roughly the weight of a bag</w:t>
      </w:r>
      <w:r>
        <w:t xml:space="preserve"> </w:t>
      </w:r>
      <w:r>
        <w:t xml:space="preserve">of sugar — against a requirement of 43, so it is short by a factor of thirteen and is</w:t>
      </w:r>
      <w:r>
        <w:t xml:space="preserve"> </w:t>
      </w:r>
      <w:r>
        <w:t xml:space="preserve">essentially an engineering problem. Our radiative method is short by a factor of a hundred</w:t>
      </w:r>
      <w:r>
        <w:t xml:space="preserve"> </w:t>
      </w:r>
      <w:r>
        <w:t xml:space="preserve">million trillion trillion. Stated the other way round:</w:t>
      </w:r>
      <w:r>
        <w:t xml:space="preserve"> </w:t>
      </w:r>
      <w:r>
        <w:rPr>
          <w:b/>
          <w:bCs/>
        </w:rPr>
        <w:t xml:space="preserve">the dull spacecraft beats the</w:t>
      </w:r>
      <w:r>
        <w:rPr>
          <w:b/>
          <w:bCs/>
        </w:rPr>
        <w:t xml:space="preserve"> </w:t>
      </w:r>
      <w:r>
        <w:rPr>
          <w:b/>
          <w:bCs/>
        </w:rPr>
        <w:t xml:space="preserve">gravitational-wave apparatus by thirty-one orders of magnitude.</w:t>
      </w:r>
    </w:p>
    <w:p>
      <w:pPr>
        <w:pStyle w:val="BodyText"/>
      </w:pPr>
      <w:r>
        <w:t xml:space="preserve">We include this comparison precisely because it is unflattering. A framework that reported</w:t>
      </w:r>
      <w:r>
        <w:t xml:space="preserve"> </w:t>
      </w:r>
      <w:r>
        <w:t xml:space="preserve">only its own channel would look far more promising and would be worthless.</w:t>
      </w:r>
    </w:p>
    <w:bookmarkEnd w:id="23"/>
    <w:bookmarkStart w:id="24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</w:t>
      </w:r>
      <w:r>
        <w:t xml:space="preserve">15</w:t>
      </w:r>
      <w:r>
        <w:t xml:space="preserve"> </w:t>
      </w:r>
      <w:r>
        <w:t xml:space="preserve">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6"/>
    <w:bookmarkStart w:id="36" w:name="methods"/>
    <w:p>
      <w:pPr>
        <w:pStyle w:val="Heading2"/>
      </w:pPr>
      <w:r>
        <w:t xml:space="preserve">Methods</w:t>
      </w:r>
    </w:p>
    <w:bookmarkStart w:id="27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7"/>
    <w:bookmarkStart w:id="28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.</w:t>
      </w:r>
      <w:r>
        <w:t xml:space="preserve"> </w:t>
      </w:r>
      <w:r>
        <w:rPr>
          <w:b/>
          <w:bCs/>
        </w:rPr>
        <w:t xml:space="preserve">Depth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below are extracted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import statements, not asserted</w:t>
      </w:r>
      <w:r>
        <w:t xml:space="preserve"> </w:t>
      </w:r>
      <w:r>
        <w:t xml:space="preserve">— as is Fig. 1, so the table and the code cannot drift</w:t>
      </w:r>
      <w:r>
        <w:t xml:space="preserve"> </w:t>
      </w:r>
      <w:r>
        <w:t xml:space="preserve">apart. Depth 0 imports no other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package; depth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imports something at depth</w:t>
      </w:r>
      <w:r>
        <w:t xml:space="preserve"> </w:t>
      </w:r>
      <w:r>
        <w:rPr>
          <w:i/>
          <w:iCs/>
        </w:rPr>
        <w:t xml:space="preserve">n</w:t>
      </w:r>
      <w:r>
        <w:t xml:space="preserve">−1.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Imports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export.</w:t>
            </w:r>
            <w:r>
              <w:t xml:space="preserve"> </w:t>
            </w:r>
            <w:r>
              <w:rPr>
                <w:b/>
                <w:bCs/>
              </w:rPr>
              <w:t xml:space="preserve">Imports nothing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gwtb</w:t>
            </w:r>
            <w:r>
              <w:t xml:space="preserve">: it takes callables and arrays from the caller, which is why it sits beside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rather than atop the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source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⇄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Mutually dependent — one tier, not two.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: 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stamping.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  <w:r>
              <w:t xml:space="preserve">: 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 stack is not strictly layered, and this table previously said it was.</w:t>
      </w:r>
      <w:r>
        <w:t xml:space="preserve"> </w:t>
      </w:r>
      <w:r>
        <w:t xml:space="preserve">Three</w:t>
      </w:r>
      <w:r>
        <w:t xml:space="preserve"> </w:t>
      </w:r>
      <w:r>
        <w:t xml:space="preserve">corrections, all found by extracting the graph rather than re-reading the prose: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form a cycle.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. They are a single</w:t>
      </w:r>
      <w:r>
        <w:t xml:space="preserve"> </w:t>
      </w:r>
      <w:r>
        <w:t xml:space="preserve">strongly-connected component and are shown here as one tier.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granularity</w:t>
      </w:r>
      <w:r>
        <w:rPr>
          <w:b/>
          <w:bCs/>
        </w:rPr>
        <w:t xml:space="preserve"> </w:t>
      </w:r>
      <w:r>
        <w:rPr>
          <w:b/>
          <w:bCs/>
        </w:rPr>
        <w:t xml:space="preserve">the graph is a clean DAG with no circular import</w:t>
      </w:r>
      <w:r>
        <w:t xml:space="preserve"> </w:t>
      </w:r>
      <w:r>
        <w:t xml:space="preserve">— verified separately — so this is a</w:t>
      </w:r>
      <w:r>
        <w:t xml:space="preserve"> </w:t>
      </w:r>
      <w:r>
        <w:t xml:space="preserve">description defect, not a runtime one.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ledger</w:t>
      </w:r>
      <w:r>
        <w:rPr>
          <w:b/>
          <w:bCs/>
        </w:rPr>
        <w:t xml:space="preserve"> </w:t>
      </w:r>
      <w:r>
        <w:rPr>
          <w:b/>
          <w:bCs/>
        </w:rPr>
        <w:t xml:space="preserve">is upstream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</w:t>
      </w:r>
      <w:r>
        <w:rPr>
          <w:b/>
          <w:bCs/>
        </w:rPr>
        <w:t xml:space="preserve">, not a final reporting stage.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. The previous listing placed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second-to-last,</w:t>
      </w:r>
      <w:r>
        <w:t xml:space="preserve"> </w:t>
      </w:r>
      <w:r>
        <w:t xml:space="preserve">implying results flow into it at the end. They do not.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viz</w:t>
      </w:r>
      <w:r>
        <w:rPr>
          <w:b/>
          <w:bCs/>
        </w:rPr>
        <w:t xml:space="preserve"> </w:t>
      </w:r>
      <w:r>
        <w:rPr>
          <w:b/>
          <w:bCs/>
        </w:rPr>
        <w:t xml:space="preserve">is at depth 0, not the top.</w:t>
      </w:r>
      <w:r>
        <w:t xml:space="preserve"> </w:t>
      </w:r>
      <w:r>
        <w:t xml:space="preserve">It imports nothing from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plan, with an important caveat now attached. We had</w:t>
      </w:r>
      <w:r>
        <w:t xml:space="preserve"> </w:t>
      </w:r>
      <w:r>
        <w:t xml:space="preserve">described the software as nine layers stacked cleanly, each resting only on those beneath.</w:t>
      </w:r>
      <w:r>
        <w:t xml:space="preserve"> </w:t>
      </w:r>
      <w:r>
        <w:t xml:space="preserve">Reading the code instead of our own description, that is not quite true: two layers — the one</w:t>
      </w:r>
      <w:r>
        <w:t xml:space="preserve"> </w:t>
      </w:r>
      <w:r>
        <w:t xml:space="preserve">that generates waves and the one that carries them outward — each use something from the</w:t>
      </w:r>
      <w:r>
        <w:t xml:space="preserve"> </w:t>
      </w:r>
      <w:r>
        <w:t xml:space="preserve">other, so neither sits below its neighbour. Nothing malfunctions, and the individual files are</w:t>
      </w:r>
      <w:r>
        <w:t xml:space="preserve"> </w:t>
      </w:r>
      <w:r>
        <w:t xml:space="preserve">still properly ordered; it was the tidy summary that was wrong. Two smaller corrections came</w:t>
      </w:r>
      <w:r>
        <w:t xml:space="preserve"> </w:t>
      </w:r>
      <w:r>
        <w:t xml:space="preserve">from the same check: the scorecard component is used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than we said, and the graphics</w:t>
      </w:r>
      <w:r>
        <w:t xml:space="preserve"> </w:t>
      </w:r>
      <w:r>
        <w:t xml:space="preserve">component depends on nothing at all. The table is now generated from the code, so it cannot</w:t>
      </w:r>
      <w:r>
        <w:t xml:space="preserve"> </w:t>
      </w:r>
      <w:r>
        <w:t xml:space="preserve">quietly drift again.</w:t>
      </w:r>
    </w:p>
    <w:p>
      <w:pPr>
        <w:pStyle w:val="BodyText"/>
      </w:pPr>
      <w:r>
        <w:t xml:space="preserve">Note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row: it deliberately 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</w:t>
      </w:r>
      <w:r>
        <w:t xml:space="preserve"> </w:t>
      </w:r>
      <w:r>
        <w:t xml:space="preserve">the new gravitational one, with the old one explicitly labelled so nobody mistakes it for</w:t>
      </w:r>
      <w:r>
        <w:t xml:space="preserve"> </w:t>
      </w:r>
      <w:r>
        <w:t xml:space="preserve">physics. Keeping a known-good wrong answer around on purpose, clearly marked, is how we prove</w:t>
      </w:r>
      <w:r>
        <w:t xml:space="preserve"> </w:t>
      </w:r>
      <w:r>
        <w:t xml:space="preserve">the new answer is a careful 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8"/>
    <w:bookmarkStart w:id="29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29"/>
    <w:bookmarkStart w:id="30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</w:t>
      </w:r>
      <w:r>
        <w:t xml:space="preserve">20</w:t>
      </w:r>
      <w:r>
        <w:t xml:space="preserve"> </w:t>
      </w:r>
      <w:r>
        <w:t xml:space="preserve">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30"/>
    <w:bookmarkStart w:id="31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1"/>
    <w:bookmarkStart w:id="32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2"/>
    <w:bookmarkStart w:id="33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Stated precisely, because the repository’s CI has never run</w:t>
      </w:r>
      <w:r>
        <w:t xml:space="preserve"> </w:t>
      </w:r>
      <w:r>
        <w:t xml:space="preserve">(BACKLOG T-2.9): the check below is a real, enforcing gate — it is one of five that must pass</w:t>
      </w:r>
      <w:r>
        <w:t xml:space="preserve"> </w:t>
      </w:r>
      <w:r>
        <w:t xml:space="preserve">before any commit, and it has run on every commit in this project’s history — but it has run</w:t>
      </w:r>
      <w:r>
        <w:t xml:space="preserve"> </w:t>
      </w:r>
      <w:r>
        <w:rPr>
          <w:b/>
          <w:bCs/>
        </w:rPr>
        <w:t xml:space="preserve">locally</w:t>
      </w:r>
      <w:r>
        <w:t xml:space="preserve">, not in GitHub Actions. Calling it</w:t>
      </w:r>
      <w:r>
        <w:t xml:space="preserve"> </w:t>
      </w:r>
      <w:r>
        <w:t xml:space="preserve">“continuous integration”</w:t>
      </w:r>
      <w:r>
        <w:t xml:space="preserve"> </w:t>
      </w:r>
      <w:r>
        <w:t xml:space="preserve">overstates where the</w:t>
      </w:r>
      <w:r>
        <w:t xml:space="preserve"> </w:t>
      </w:r>
      <w:r>
        <w:t xml:space="preserve">enforcement happens, and that wording is flagged for correction rather than left standing.</w:t>
      </w:r>
    </w:p>
    <w:p>
      <w:pPr>
        <w:pStyle w:val="BodyText"/>
      </w:pP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3"/>
    <w:bookmarkStart w:id="34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18,19,12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4"/>
    <w:bookmarkStart w:id="35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7"/>
    <w:bookmarkStart w:id="38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public</w:t>
      </w:r>
      <w:r>
        <w:t xml:space="preserve">, verified</w:t>
      </w:r>
      <w:r>
        <w:t xml:space="preserve"> </w:t>
      </w:r>
      <w:r>
        <w:t xml:space="preserve">2026-08-06 without credentials. Every figure and number in the Results section is</w:t>
      </w:r>
      <w:r>
        <w:t xml:space="preserve"> </w:t>
      </w:r>
      <w:r>
        <w:t xml:space="preserve">regenerated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whose run manifest pins the code version,</w:t>
      </w:r>
      <w:r>
        <w:t xml:space="preserve"> </w:t>
      </w:r>
      <w:r>
        <w:t xml:space="preserve">parameters and seeds.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5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5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5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5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5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5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5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5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5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5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5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5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5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5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5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5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5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5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5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5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5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Nature</w:t>
      </w:r>
      <w:r>
        <w:t xml:space="preserve"> </w:t>
      </w:r>
      <w:r>
        <w:t xml:space="preserve">editorial policy on artificial intelligence: Large Language Models do not</w:t>
      </w:r>
      <w:r>
        <w:t xml:space="preserve"> </w:t>
      </w:r>
      <w:r>
        <w:t xml:space="preserve">satisfy authorship criteria, since authorship carries accountability that cannot be</w:t>
      </w:r>
      <w:r>
        <w:t xml:space="preserve"> </w:t>
      </w:r>
      <w:r>
        <w:t xml:space="preserve">assigned to an AI tool; their use must instead be documented. Springer Nature and</w:t>
      </w:r>
      <w:r>
        <w:t xml:space="preserve"> </w:t>
      </w:r>
      <w:r>
        <w:t xml:space="preserve">Science apply the same prohibition. https://www.nature.com/nature-portfolio/editorial-policies/ai</w:t>
      </w:r>
      <w:r>
        <w:t xml:space="preserve"> </w:t>
      </w:r>
      <w:r>
        <w:rPr>
          <w:i/>
          <w:iCs/>
        </w:rPr>
        <w:t xml:space="preserve">(Verified 2026-08-06.)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</w:p>
    <w:p>
      <w:r>
        <w:pict>
          <v:rect style="width:0;height:1.5pt" o:hralign="center" o:hrstd="t" o:hr="t"/>
        </w:pict>
      </w:r>
    </w:p>
    <w:bookmarkEnd w:id="39"/>
    <w:bookmarkStart w:id="4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the open-access sources this framework is built on —</w:t>
      </w:r>
      <w:r>
        <w:t xml:space="preserve"> </w:t>
      </w:r>
      <w:r>
        <w:t xml:space="preserve">in particular Blanchet’s</w:t>
      </w:r>
      <w:r>
        <w:t xml:space="preserve"> </w:t>
      </w:r>
      <w:r>
        <w:rPr>
          <w:i/>
          <w:iCs/>
        </w:rPr>
        <w:t xml:space="preserve">Living Reviews</w:t>
      </w:r>
      <w:r>
        <w:t xml:space="preserve"> </w:t>
      </w:r>
      <w:r>
        <w:t xml:space="preserve">article, whose numbered equations made the</w:t>
      </w:r>
      <w:r>
        <w:t xml:space="preserve"> </w:t>
      </w:r>
      <w:r>
        <w:t xml:space="preserve">project’s citation discipline enforceable at all. A framework that requires every formula</w:t>
      </w:r>
      <w:r>
        <w:t xml:space="preserve"> </w:t>
      </w:r>
      <w:r>
        <w:t xml:space="preserve">to name a checkable equation can only exist where such sources are freely available.</w:t>
      </w:r>
    </w:p>
    <w:p>
      <w:pPr>
        <w:pStyle w:val="BodyText"/>
      </w:pPr>
      <w:r>
        <w:rPr>
          <w:i/>
          <w:iCs/>
        </w:rPr>
        <w:t xml:space="preserve">Institutional and individual acknowledgements to be added.</w:t>
      </w:r>
      <w:r>
        <w:t xml:space="preserve"> </w:t>
      </w:r>
      <w:r>
        <w:t xml:space="preserve">Per the README’s stated</w:t>
      </w:r>
      <w:r>
        <w:t xml:space="preserve"> </w:t>
      </w:r>
      <w:r>
        <w:t xml:space="preserve">intent, any assistance received from people or institutions with more formal training than</w:t>
      </w:r>
      <w:r>
        <w:t xml:space="preserve"> </w:t>
      </w:r>
      <w:r>
        <w:t xml:space="preserve">the author will be logged explicitly rather than absorbed into a general thank-you — the</w:t>
      </w:r>
      <w:r>
        <w:t xml:space="preserve"> </w:t>
      </w:r>
      <w:r>
        <w:t xml:space="preserve">degree of expert intervention required is itself one of this work’s reported quantities.</w:t>
      </w:r>
    </w:p>
    <w:bookmarkEnd w:id="40"/>
    <w:bookmarkStart w:id="41" w:name="author-contributions-1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/>
          <w:bCs/>
        </w:rPr>
        <w:t xml:space="preserve">Author contributions</w:t>
      </w:r>
      <w:r>
        <w:t xml:space="preserve"> </w:t>
      </w:r>
      <w:r>
        <w:t xml:space="preserve">following the author list, which states the CRediT roles and</w:t>
      </w:r>
      <w:r>
        <w:t xml:space="preserve"> </w:t>
      </w:r>
      <w:r>
        <w:t xml:space="preserve">the AI-assistance disclosure in full.</w:t>
      </w:r>
    </w:p>
    <w:bookmarkEnd w:id="41"/>
    <w:bookmarkStart w:id="4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financial interests. Two non-financial disclosures are</w:t>
      </w:r>
      <w:r>
        <w:t xml:space="preserve"> </w:t>
      </w:r>
      <w:r>
        <w:t xml:space="preserve">made in the interest of completeness: the software is released under Apache-2.0 with an</w:t>
      </w:r>
      <w:r>
        <w:t xml:space="preserve"> </w:t>
      </w:r>
      <w:r>
        <w:rPr>
          <w:b/>
          <w:bCs/>
        </w:rPr>
        <w:t xml:space="preserve">explicit patent grant</w:t>
      </w:r>
      <w:r>
        <w:t xml:space="preserve"> </w:t>
      </w:r>
      <w:r>
        <w:t xml:space="preserve">(see Code availability), which is a deliberate choice to let</w:t>
      </w:r>
      <w:r>
        <w:t xml:space="preserve"> </w:t>
      </w:r>
      <w:r>
        <w:t xml:space="preserve">outside groups develop hardware against the framework without exposure; and the work was</w:t>
      </w:r>
      <w:r>
        <w:t xml:space="preserve"> </w:t>
      </w:r>
      <w:r>
        <w:t xml:space="preserve">produced with extensive commercial AI assistance, disclosed with per-model commit counts</w:t>
      </w:r>
      <w:r>
        <w:t xml:space="preserve"> </w:t>
      </w:r>
      <w:r>
        <w:t xml:space="preserve">under Author contributions.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standard end-of-paper declarations. Nobody stands to profit</w:t>
      </w:r>
      <w:r>
        <w:t xml:space="preserve"> </w:t>
      </w:r>
      <w:r>
        <w:t xml:space="preserve">in a way that could bias the results. Two things are disclosed anyway because they could</w:t>
      </w:r>
      <w:r>
        <w:t xml:space="preserve"> </w:t>
      </w:r>
      <w:r>
        <w:t xml:space="preserve">reasonably be asked about: the software licence deliberately gives away patent rights so</w:t>
      </w:r>
      <w:r>
        <w:t xml:space="preserve"> </w:t>
      </w:r>
      <w:r>
        <w:t xml:space="preserve">that others can build hardware freely, and the work leaned heavily on commercial AI tools,</w:t>
      </w:r>
      <w:r>
        <w:t xml:space="preserve"> </w:t>
      </w:r>
      <w:r>
        <w:t xml:space="preserve">which we quantify rather than gesture at.</w:t>
      </w:r>
    </w:p>
    <w:p>
      <w:r>
        <w:pict>
          <v:rect style="width:0;height:1.5pt" o:hralign="center" o:hrstd="t" o:hr="t"/>
        </w:pict>
      </w:r>
    </w:p>
    <w:bookmarkEnd w:id="42"/>
    <w:bookmarkStart w:id="69" w:name="display-items"/>
    <w:p>
      <w:pPr>
        <w:pStyle w:val="Heading2"/>
      </w:pPr>
      <w:r>
        <w:t xml:space="preserve">Display items</w:t>
      </w:r>
    </w:p>
    <w:bookmarkStart w:id="43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3"/>
    <w:bookmarkStart w:id="44" w:name="table-2-feasibility-ledger"/>
    <w:p>
      <w:pPr>
        <w:pStyle w:val="Heading3"/>
      </w:pPr>
      <w:r>
        <w:t xml:space="preserve">Table 2 | Feasibility ledger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ledger.GapReport</w:t>
      </w:r>
      <w:r>
        <w:t xml:space="preserve"> </w:t>
      </w:r>
      <w:r>
        <w:t xml:space="preserve">on the R5 campaign run; manifest in</w:t>
      </w:r>
      <w:r>
        <w:t xml:space="preserve"> </w:t>
      </w:r>
      <w:r>
        <w:rPr>
          <w:rStyle w:val="VerbatimChar"/>
        </w:rPr>
        <w:t xml:space="preserve">campaign/manifest.json</w:t>
      </w:r>
      <w:r>
        <w:t xml:space="preserve">. The emission and impulse rows carry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case over the</w:t>
      </w:r>
      <w:r>
        <w:t xml:space="preserve"> </w:t>
      </w:r>
      <w:r>
        <w:t xml:space="preserve">scoping set, not the most favourable — see the range beneath.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Aperture (diffraction)</w:t>
            </w:r>
          </w:p>
        </w:tc>
        <w:tc>
          <w:tcPr/>
          <w:p>
            <w:pPr>
              <w:pStyle w:val="Compact"/>
            </w:pPr>
            <w:r>
              <w:t xml:space="preserve">4.13 × 10¹</w:t>
            </w:r>
          </w:p>
        </w:tc>
        <w:tc>
          <w:tcPr/>
          <w:p>
            <w:pPr>
              <w:pStyle w:val="Compact"/>
            </w:pPr>
            <w:r>
              <w:t xml:space="preserve">5.98 × 10⁹</w:t>
            </w:r>
          </w:p>
        </w:tc>
        <w:tc>
          <w:tcPr/>
          <w:p>
            <w:pPr>
              <w:pStyle w:val="Compact"/>
            </w:pPr>
            <w:r>
              <w:t xml:space="preserve">D/λ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 (absorption, best-case source)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4.30 × 10¹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t xml:space="preserve">2.11 × 10⁵</w:t>
            </w:r>
          </w:p>
        </w:tc>
        <w:tc>
          <w:tcPr/>
          <w:p>
            <w:pPr>
              <w:pStyle w:val="Compact"/>
            </w:pPr>
            <w:r>
              <w:t xml:space="preserve">1.00 × 10³⁰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Emission magnitude</w:t>
            </w:r>
          </w:p>
        </w:tc>
        <w:tc>
          <w:tcPr/>
          <w:p>
            <w:pPr>
              <w:pStyle w:val="Compact"/>
            </w:pPr>
            <w:r>
              <w:t xml:space="preserve">7.50 × 10⁻²⁰</w:t>
            </w:r>
          </w:p>
        </w:tc>
        <w:tc>
          <w:tcPr/>
          <w:p>
            <w:pPr>
              <w:pStyle w:val="Compact"/>
            </w:pPr>
            <w:r>
              <w:t xml:space="preserve">1.33 × 10¹⁰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w:r>
              <w:t xml:space="preserve">7.90 × 10⁻²</w:t>
            </w:r>
          </w:p>
        </w:tc>
        <w:tc>
          <w:tcPr/>
          <w:p>
            <w:pPr>
              <w:pStyle w:val="Compact"/>
            </w:pPr>
            <w:r>
              <w:t xml:space="preserve">1.40 × 10¹⁰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target.deflection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Emission gap across the scoping set: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−6.75 to +29.25 decades</w:t>
      </w:r>
      <w:r>
        <w:rPr>
          <w:i/>
          <w:iCs/>
        </w:rPr>
        <w:t xml:space="preserve">. The negative value is</w:t>
      </w:r>
      <w:r>
        <w:rPr>
          <w:i/>
          <w:iCs/>
        </w:rPr>
        <w:t xml:space="preserve"> </w:t>
      </w:r>
      <w:r>
        <w:rPr>
          <w:i/>
          <w:iCs/>
        </w:rPr>
        <w:t xml:space="preserve">the 10⁹ kg / 1 km / 1 MHz configuration, where this wall does not bind; see R5. Quoting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emission number in either direction would misrepresent the result.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scorecard. Each row reads: here is what we achieve, here is</w:t>
      </w:r>
      <w:r>
        <w:t xml:space="preserve"> </w:t>
      </w:r>
      <w:r>
        <w:t xml:space="preserve">what is needed, and here is the shortfall in powers of ten. Two things to notice. The</w:t>
      </w:r>
      <w:r>
        <w:t xml:space="preserve"> </w:t>
      </w:r>
      <w:r>
        <w:t xml:space="preserve">worst row is not the one about raw power — it is the body-quadrupole row, meaning the</w:t>
      </w:r>
      <w:r>
        <w:t xml:space="preserve"> </w:t>
      </w:r>
      <w:r>
        <w:t xml:space="preserve">difficulty of making a lump of matter change shape hard enough. And the emission row is</w:t>
      </w:r>
      <w:r>
        <w:t xml:space="preserve"> </w:t>
      </w:r>
      <w:r>
        <w:t xml:space="preserve">given as a</w:t>
      </w:r>
      <w:r>
        <w:t xml:space="preserve"> </w:t>
      </w:r>
      <w:r>
        <w:rPr>
          <w:i/>
          <w:iCs/>
        </w:rPr>
        <w:t xml:space="preserve">range</w:t>
      </w:r>
      <w:r>
        <w:t xml:space="preserve">, because at one extreme configuration it is not a shortfall at all.</w:t>
      </w:r>
      <w:r>
        <w:t xml:space="preserve"> </w:t>
      </w:r>
      <w:r>
        <w:t xml:space="preserve">Reporting only the flattering end, or only the damning end, would both have been</w:t>
      </w:r>
      <w:r>
        <w:t xml:space="preserve"> </w:t>
      </w:r>
      <w:r>
        <w:t xml:space="preserve">dishonest.</w:t>
      </w:r>
    </w:p>
    <w:bookmarkEnd w:id="44"/>
    <w:bookmarkStart w:id="45" w:name="table-3-coupling-channels-compared"/>
    <w:p>
      <w:pPr>
        <w:pStyle w:val="Heading3"/>
      </w:pPr>
      <w:r>
        <w:t xml:space="preserve">Table 3 | Coupling channels compared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target.compare_channels</w:t>
      </w:r>
      <w:r>
        <w:t xml:space="preserve"> </w:t>
      </w:r>
      <w:r>
        <w:t xml:space="preserve">on the R6 campaign run. Same configuration, same</w:t>
      </w:r>
      <w:r>
        <w:t xml:space="preserve"> </w:t>
      </w:r>
      <w:r>
        <w:t xml:space="preserve">units, one row per channel.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t xml:space="preserve">2.50 × 10⁻³⁸</w:t>
            </w:r>
          </w:p>
        </w:tc>
        <w:tc>
          <w:tcPr/>
          <w:p>
            <w:pPr>
              <w:pStyle w:val="Compact"/>
            </w:pPr>
            <w:r>
              <w:t xml:space="preserve">— (strain)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</w:tr>
    </w:tbl>
    <w:p>
      <w:pPr>
        <w:pStyle w:val="BodyText"/>
      </w:pPr>
      <w:r>
        <w:rPr>
          <w:i/>
          <w:iCs/>
        </w:rPr>
        <w:t xml:space="preserve">Radiative coupling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1.3 × 10⁻³¹</w:t>
      </w:r>
      <w:r>
        <w:rPr>
          <w:i/>
          <w:iCs/>
        </w:rPr>
        <w:t xml:space="preserve"> </w:t>
      </w:r>
      <w:r>
        <w:rPr>
          <w:i/>
          <w:iCs/>
        </w:rPr>
        <w:t xml:space="preserve">of the near-zone channel. The 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falsifier — radiative exceeding near-zone at any configuration — did not fire, and was</w:t>
      </w:r>
      <w:r>
        <w:rPr>
          <w:i/>
          <w:iCs/>
        </w:rPr>
        <w:t xml:space="preserve"> </w:t>
      </w:r>
      <w:r>
        <w:rPr>
          <w:i/>
          <w:iCs/>
        </w:rPr>
        <w:t xml:space="preserve">never close.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measured side by</w:t>
      </w:r>
      <w:r>
        <w:t xml:space="preserve"> </w:t>
      </w:r>
      <w:r>
        <w:t xml:space="preserve">side. The result is not close and not flattering to this project: the boring option — park</w:t>
      </w:r>
      <w:r>
        <w:t xml:space="preserve"> </w:t>
      </w:r>
      <w:r>
        <w:t xml:space="preserve">a heavy spacecraft nearby and let plain gravity pull — is within a factor of thirteen of</w:t>
      </w:r>
      <w:r>
        <w:t xml:space="preserve"> </w:t>
      </w:r>
      <w:r>
        <w:t xml:space="preserve">working, while the exotic wave-based option is short by a factor with thirty-one zeros</w:t>
      </w:r>
      <w:r>
        <w:t xml:space="preserve"> </w:t>
      </w:r>
      <w:r>
        <w:t xml:space="preserve">after it. We report the middle and bottom rows anyway, because quietly omitting the</w:t>
      </w:r>
      <w:r>
        <w:t xml:space="preserve"> </w:t>
      </w:r>
      <w:r>
        <w:t xml:space="preserve">unflattering comparison is exactly how an honest analysis turns into a sales pitch.</w:t>
      </w:r>
    </w:p>
    <w:bookmarkEnd w:id="45"/>
    <w:bookmarkStart w:id="67" w:name="figure-legends"/>
    <w:p>
      <w:pPr>
        <w:pStyle w:val="Heading3"/>
      </w:pPr>
      <w:r>
        <w:t xml:space="preserve">Figure legends</w:t>
      </w:r>
    </w:p>
    <w:p>
      <w:pPr>
        <w:pStyle w:val="FirstParagraph"/>
      </w:pPr>
      <w:r>
        <w:rPr>
          <w:i/>
          <w:iCs/>
        </w:rPr>
        <w:t xml:space="preserve">Figures 3–7 are 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tools/run_campaign.py</w:t>
      </w:r>
      <w:r>
        <w:rPr>
          <w:i/>
          <w:iCs/>
        </w:rPr>
        <w:t xml:space="preserve">; Figures 1–2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tools/render_mermaid.py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Explanatory prose lives in these legends rather than inside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figures</w:t>
      </w:r>
      <w:r>
        <w:rPr>
          <w:i/>
          <w:iCs/>
        </w:rPr>
        <w:t xml:space="preserve">, so each panel carries only feature labels — a rule line, a ringed point, an axis</w:t>
      </w:r>
      <w:r>
        <w:rPr>
          <w:i/>
          <w:iCs/>
        </w:rPr>
        <w:t xml:space="preserve"> </w:t>
      </w:r>
      <w:r>
        <w:rPr>
          <w:i/>
          <w:iCs/>
        </w:rPr>
        <w:t xml:space="preserve">marker. A figure that lectures is a figure whose caption was not trusted to do its job. All</w:t>
      </w:r>
      <w:r>
        <w:rPr>
          <w:i/>
          <w:iCs/>
        </w:rPr>
        <w:t xml:space="preserve"> </w:t>
      </w:r>
      <w:r>
        <w:rPr>
          <w:i/>
          <w:iCs/>
        </w:rPr>
        <w:t xml:space="preserve">five data figures share one colourblind-safe palette (Okabe-Ito), in which black is always</w:t>
      </w:r>
      <w:r>
        <w:rPr>
          <w:i/>
          <w:iCs/>
        </w:rPr>
        <w:t xml:space="preserve"> </w:t>
      </w:r>
      <w:r>
        <w:rPr>
          <w:i/>
          <w:iCs/>
        </w:rPr>
        <w:t xml:space="preserve">the correct prediction and vermillion always the spin-1 or naive one.</w:t>
      </w:r>
    </w:p>
    <w:p>
      <w:pPr>
        <w:pStyle w:val="BodyText"/>
      </w:pPr>
      <w:r>
        <w:drawing>
          <wp:inline>
            <wp:extent cx="5334000" cy="535441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ocs/paper/campaign/fig1_architectur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 | Framework architecture, as it actually is.</w:t>
      </w:r>
      <w:r>
        <w:t xml:space="preserve"> </w:t>
      </w:r>
      <w:r>
        <w:t xml:space="preserve">Package dependency graph extracted</w:t>
      </w:r>
      <w:r>
        <w:t xml:space="preserve"> </w:t>
      </w:r>
      <w:r>
        <w:t xml:space="preserve">from the import statements (not from the documentation), annotated with the equation IDs each</w:t>
      </w:r>
      <w:r>
        <w:t xml:space="preserve"> </w:t>
      </w:r>
      <w:r>
        <w:t xml:space="preserve">package implements. Governance-motivated components are shaded. ⚠️</w:t>
      </w:r>
      <w:r>
        <w:t xml:space="preserve"> </w:t>
      </w: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import each other</w:t>
      </w:r>
      <w:r>
        <w:t xml:space="preserve">, so the layering is not strict — see the note below the diagram.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rPr>
          <w:i/>
          <w:iCs/>
        </w:rPr>
        <w:t xml:space="preserve">Edges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are omitted: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package except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it, and drawing all</w:t>
      </w:r>
      <w:r>
        <w:rPr>
          <w:i/>
          <w:iCs/>
        </w:rPr>
        <w:t xml:space="preserve"> </w:t>
      </w:r>
      <w:r>
        <w:rPr>
          <w:i/>
          <w:iCs/>
        </w:rPr>
        <w:t xml:space="preserve">seven obscures the structure.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nothing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gwtb</w:t>
      </w:r>
      <w:r>
        <w:rPr>
          <w:i/>
          <w:iCs/>
        </w:rPr>
        <w:t xml:space="preserve"> </w:t>
      </w:r>
      <w:r>
        <w:rPr>
          <w:i/>
          <w:iCs/>
        </w:rPr>
        <w:t xml:space="preserve">at all — it takes callables</w:t>
      </w:r>
      <w:r>
        <w:rPr>
          <w:i/>
          <w:iCs/>
        </w:rPr>
        <w:t xml:space="preserve"> </w:t>
      </w:r>
      <w:r>
        <w:rPr>
          <w:i/>
          <w:iCs/>
        </w:rPr>
        <w:t xml:space="preserve">and arrays from the caller, which is why it sits at depth 0 beside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p>
      <w:pPr>
        <w:pStyle w:val="BodyText"/>
      </w:pPr>
      <w:r>
        <w:rPr>
          <w:b/>
          <w:bCs/>
        </w:rPr>
        <w:t xml:space="preserve">Two things this diagram corrects.</w:t>
      </w:r>
      <w:r>
        <w:t xml:space="preserve"> </w:t>
      </w:r>
      <w:r>
        <w:t xml:space="preserve">First, the Methods text describes</w:t>
      </w:r>
      <w:r>
        <w:t xml:space="preserve"> </w:t>
      </w:r>
      <w:r>
        <w:t xml:space="preserve">“nine packages in</w:t>
      </w:r>
      <w:r>
        <w:t xml:space="preserve"> </w:t>
      </w:r>
      <w:r>
        <w:t xml:space="preserve">dependency order”</w:t>
      </w:r>
      <w:r>
        <w:t xml:space="preserve"> </w:t>
      </w:r>
      <w:r>
        <w:t xml:space="preserve">and lists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; the imports run the other way —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, so the ledger is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the target</w:t>
      </w:r>
      <w:r>
        <w:t xml:space="preserve"> </w:t>
      </w:r>
      <w:r>
        <w:t xml:space="preserve">layer, not a final reporting stage. Second, and more substantively,</w:t>
      </w:r>
      <w:r>
        <w:t xml:space="preserve"> </w:t>
      </w:r>
      <w:r>
        <w:rPr>
          <w:b/>
          <w:bCs/>
        </w:rPr>
        <w:t xml:space="preserve">the layering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strict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 </w:t>
      </w:r>
      <w:r>
        <w:t xml:space="preserve">(dotted</w:t>
      </w:r>
      <w:r>
        <w:t xml:space="preserve"> </w:t>
      </w:r>
      <w:r>
        <w:t xml:space="preserve">edges). At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granularity the graph is a clean DAG with no circular import; the cycle</w:t>
      </w:r>
      <w:r>
        <w:t xml:space="preserve"> </w:t>
      </w:r>
      <w:r>
        <w:t xml:space="preserve">exists only at</w:t>
      </w:r>
      <w:r>
        <w:t xml:space="preserve"> </w:t>
      </w:r>
      <w:r>
        <w:rPr>
          <w:i/>
          <w:iCs/>
        </w:rPr>
        <w:t xml:space="preserve">package</w:t>
      </w:r>
      <w:r>
        <w:t xml:space="preserve"> </w:t>
      </w:r>
      <w:r>
        <w:t xml:space="preserve">granularity. It is therefore a description defect rather than a</w:t>
      </w:r>
      <w:r>
        <w:t xml:space="preserve"> </w:t>
      </w:r>
      <w:r>
        <w:t xml:space="preserve">runtime one — but</w:t>
      </w:r>
      <w:r>
        <w:t xml:space="preserve"> </w:t>
      </w:r>
      <w:r>
        <w:t xml:space="preserve">“strict dependency order”</w:t>
      </w:r>
      <w:r>
        <w:t xml:space="preserve"> </w:t>
      </w:r>
      <w:r>
        <w:t xml:space="preserve">is not what the code does, and this figure is</w:t>
      </w:r>
      <w:r>
        <w:t xml:space="preserve"> </w:t>
      </w:r>
      <w:r>
        <w:t xml:space="preserve">generated from the imports precisely so that claim cannot drift again.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 of the software, drawn from the code itself rather</w:t>
      </w:r>
      <w:r>
        <w:t xml:space="preserve"> </w:t>
      </w:r>
      <w:r>
        <w:t xml:space="preserve">than from our description of it — and the two disagree. We had written that the nine layers</w:t>
      </w:r>
      <w:r>
        <w:t xml:space="preserve"> </w:t>
      </w:r>
      <w:r>
        <w:t xml:space="preserve">stack cleanly, each resting only on the ones below. They very nearly do, but two of them lean</w:t>
      </w:r>
      <w:r>
        <w:t xml:space="preserve"> </w:t>
      </w:r>
      <w:r>
        <w:t xml:space="preserve">on each other: the part that generates waves and the part that propagates them each use</w:t>
      </w:r>
      <w:r>
        <w:t xml:space="preserve"> </w:t>
      </w:r>
      <w:r>
        <w:t xml:space="preserve">something from the other. It causes no malfunction, and the individual files are still</w:t>
      </w:r>
      <w:r>
        <w:t xml:space="preserve"> </w:t>
      </w:r>
      <w:r>
        <w:t xml:space="preserve">properly ordered — it is the tidy summary that was wrong, not the program. We are showing the</w:t>
      </w:r>
      <w:r>
        <w:t xml:space="preserve"> </w:t>
      </w:r>
      <w:r>
        <w:t xml:space="preserve">real shape rather than the one we meant to build.</w:t>
      </w:r>
    </w:p>
    <w:p>
      <w:pPr>
        <w:pStyle w:val="BodyText"/>
      </w:pPr>
      <w:r>
        <w:drawing>
          <wp:inline>
            <wp:extent cx="5334000" cy="441551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paper/campaign/fig2_provenanc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5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The five mechanisms, the point in a claim’s life at</w:t>
      </w:r>
      <w:r>
        <w:t xml:space="preserve"> </w:t>
      </w:r>
      <w:r>
        <w:t xml:space="preserve">which each intervenes, and the specific realized or near-miss failure that produced it. Every</w:t>
      </w:r>
      <w:r>
        <w:t xml:space="preserve"> </w:t>
      </w:r>
      <w:r>
        <w:t xml:space="preserve">one was added in response to something that went wrong, not designed in advance.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t xml:space="preserve">The gate that matters most is the leftward one:</w:t>
      </w:r>
      <w:r>
        <w:t xml:space="preserve"> </w:t>
      </w:r>
      <w:r>
        <w:rPr>
          <w:b/>
          <w:bCs/>
        </w:rPr>
        <w:t xml:space="preserve">a research pass returning UNVERIFIED blocks</w:t>
      </w:r>
      <w:r>
        <w:rPr>
          <w:b/>
          <w:bCs/>
        </w:rPr>
        <w:t xml:space="preserve"> </w:t>
      </w:r>
      <w:r>
        <w:rPr>
          <w:b/>
          <w:bCs/>
        </w:rPr>
        <w:t xml:space="preserve">the task</w:t>
      </w:r>
      <w:r>
        <w:t xml:space="preserve"> </w:t>
      </w:r>
      <w:r>
        <w:t xml:space="preserve">and converts it into a design spike whose only output is a written decision. Three</w:t>
      </w:r>
      <w:r>
        <w:t xml:space="preserve"> </w:t>
      </w:r>
      <w:r>
        <w:t xml:space="preserve">of this project’s Architecture Decision Records exist because that gate fired, and one of them</w:t>
      </w:r>
      <w:r>
        <w:t xml:space="preserve"> </w:t>
      </w:r>
      <w:r>
        <w:t xml:space="preserve">(ADR-0007) records a citation search that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— the result was admitted on numerical</w:t>
      </w:r>
      <w:r>
        <w:t xml:space="preserve"> </w:t>
      </w:r>
      <w:r>
        <w:t xml:space="preserve">evidence instead, with the likely primary source deliberately cited without an equation number.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five safeguards, and what each is guarding against. The</w:t>
      </w:r>
      <w:r>
        <w:t xml:space="preserve"> </w:t>
      </w:r>
      <w:r>
        <w:t xml:space="preserve">important feature is that none was designed in advance out of tidiness — each exists because</w:t>
      </w:r>
      <w:r>
        <w:t xml:space="preserve"> </w:t>
      </w:r>
      <w:r>
        <w:t xml:space="preserve">something went wrong or nearly did, and the red boxes name the specific incident. Read the</w:t>
      </w:r>
      <w:r>
        <w:t xml:space="preserve"> </w:t>
      </w:r>
      <w:r>
        <w:t xml:space="preserve">flow left to right: a proposed claim has to clear a source check before anyone may write code,</w:t>
      </w:r>
      <w:r>
        <w:t xml:space="preserve"> </w:t>
      </w:r>
      <w:r>
        <w:t xml:space="preserve">and if the source cannot be verified the work stops and becomes a research question instead. On</w:t>
      </w:r>
      <w:r>
        <w:t xml:space="preserve"> </w:t>
      </w:r>
      <w:r>
        <w:t xml:space="preserve">three occasions that gate fired and produced a written decision rather than a program. Once,</w:t>
      </w:r>
      <w:r>
        <w:t xml:space="preserve"> </w:t>
      </w:r>
      <w:r>
        <w:t xml:space="preserve">the honest outcome was</w:t>
      </w:r>
      <w:r>
        <w:t xml:space="preserve"> </w:t>
      </w:r>
      <w:r>
        <w:t xml:space="preserve">“no published source for this exists”</w:t>
      </w:r>
      <w:r>
        <w:t xml:space="preserve"> </w:t>
      </w:r>
      <w:r>
        <w:t xml:space="preserve">— which we recorded as the answer</w:t>
      </w:r>
      <w:r>
        <w:t xml:space="preserve"> </w:t>
      </w:r>
      <w:r>
        <w:t xml:space="preserve">rather than quietly picking a plausible-looking reference.</w:t>
      </w:r>
    </w:p>
    <w:p>
      <w:pPr>
        <w:pStyle w:val="BodyText"/>
      </w:pPr>
      <w:r>
        <w:drawing>
          <wp:inline>
            <wp:extent cx="5334000" cy="455519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ocs/paper/campaign/fig3_mismatch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5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 | Element mismatch is a function of 2Δψ, at every N.</w:t>
      </w:r>
      <w:r>
        <w:t xml:space="preserve"> </w:t>
      </w:r>
      <w:r>
        <w:t xml:space="preserve">Array gain/N² versus relative</w:t>
      </w:r>
      <w:r>
        <w:t xml:space="preserve"> </w:t>
      </w:r>
      <w:r>
        <w:t xml:space="preserve">element orientation for N = 2–1000 (markers), against the spin-2 prediction cos²Δψ (solid) and</w:t>
      </w:r>
      <w:r>
        <w:t xml:space="preserve"> </w:t>
      </w:r>
      <w:r>
        <w:t xml:space="preserve">the spin-1 prediction cos²(Δψ/2) (dotted). Lower panel: residual against cos²Δψ, worst</w:t>
      </w:r>
      <w:r>
        <w:t xml:space="preserve"> </w:t>
      </w:r>
      <w:r>
        <w:t xml:space="preserve">4.5 × 10⁻¹⁴, confirming the law is exact and N-independent. The 90° cancellation (</w:t>
      </w:r>
      <w:r>
        <w:rPr>
          <w:b/>
          <w:bCs/>
        </w:rPr>
        <w:t xml:space="preserve">ringed</w:t>
      </w:r>
      <w:r>
        <w:t xml:space="preserve">) is complete at every N</w:t>
      </w:r>
      <w:r>
        <w:t xml:space="preserve"> </w:t>
      </w:r>
      <w:r>
        <w:t xml:space="preserve">(3.75 × 10⁻³³) where spin-1 reasoning predicts 0.5. 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377963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ocs/paper/campaign/fig4_alignmen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9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Measured gain fraction</w:t>
      </w:r>
      <w:r>
        <w:t xml:space="preserve"> </w:t>
      </w:r>
      <w:r>
        <w:t xml:space="preserve">versus orientation jitter σ (N = 200, 400 realizations, ±5 s.e.), against the spin-2 law with</w:t>
      </w:r>
      <w:r>
        <w:t xml:space="preserve"> </w:t>
      </w:r>
      <w:r>
        <w:t xml:space="preserve">its finite-N bias, the spin-2 limit exp(−4σ²), and the spin-1 law exp(−σ²). The spin-2 form</w:t>
      </w:r>
      <w:r>
        <w:t xml:space="preserve"> </w:t>
      </w:r>
      <w:r>
        <w:t xml:space="preserve">fits 201× better (1.3 × 10⁻³ versus 2.7 × 10⁻¹ worst deviation). 1% loss at σ = 2.87°.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ocs/paper/campaign/fig5_degeneracy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 | Degeneracy breaking: only the rigid model is flat.</w:t>
      </w:r>
      <w:r>
        <w:t xml:space="preserve"> </w:t>
      </w:r>
      <w:r>
        <w:t xml:space="preserve">Quadrupole signature versus</w:t>
      </w:r>
      <w:r>
        <w:t xml:space="preserve"> </w:t>
      </w:r>
      <w:r>
        <w:t xml:space="preserve">radius at fixed M = 10¹⁵ kg over two decades. Upper panel (log): elastic response for three</w:t>
      </w:r>
      <w:r>
        <w:t xml:space="preserve"> </w:t>
      </w:r>
      <w:r>
        <w:t xml:space="preserve">materials, varying by 7.6 × 10⁴ – 2.1 × 10⁵ ×, and the geometric finite-size departure.</w:t>
      </w:r>
      <w:r>
        <w:t xml:space="preserve"> </w:t>
      </w:r>
      <w:r>
        <w:t xml:space="preserve">Lower panel (</w:t>
      </w:r>
      <w:r>
        <w:rPr>
          <w:b/>
          <w:bCs/>
        </w:rPr>
        <w:t xml:space="preserve">linear</w:t>
      </w:r>
      <w:r>
        <w:t xml:space="preserve">): the rigid model, identically 0.0 at all nine radii. The rigid result</w:t>
      </w:r>
      <w:r>
        <w:t xml:space="preserve"> </w:t>
      </w:r>
      <w:r>
        <w:t xml:space="preserve">is plotted linearly because zero is not representable on a logarithmic axis and a clamped line</w:t>
      </w:r>
      <w:r>
        <w:t xml:space="preserve"> </w:t>
      </w:r>
      <w:r>
        <w:t xml:space="preserve">would read as a measurement rather than an exact null.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p>
      <w:pPr>
        <w:pStyle w:val="BodyText"/>
      </w:pPr>
      <w:r>
        <w:drawing>
          <wp:inline>
            <wp:extent cx="5334000" cy="391615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ocs/paper/campaign/fig6_focu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 | Mode-locking signature, against the correct background.</w:t>
      </w:r>
      <w:r>
        <w:t xml:space="preserve"> </w:t>
      </w:r>
      <w:r>
        <w:t xml:space="preserve">Peak-to-background ratio</w:t>
      </w:r>
      <w:r>
        <w:t xml:space="preserve"> </w:t>
      </w:r>
      <w:r>
        <w:t xml:space="preserve">versus √N at 1 MHz, where the geometry gives D/λ = 17.7, 41.3 and 53.1 for N = 16, 64, 100 —</w:t>
      </w:r>
      <w:r>
        <w:t xml:space="preserve"> </w:t>
      </w:r>
      <w:r>
        <w:t xml:space="preserve">every configuration super-wavelength (ADR-0006 trap 1). Two references are drawn: the naive √N,</w:t>
      </w:r>
      <w:r>
        <w:t xml:space="preserve"> </w:t>
      </w:r>
      <w:r>
        <w:t xml:space="preserve">which the measurements exceed by 12.6%, and the Rayleigh-corrected 2√N/√π = 1.128√N, which they</w:t>
      </w:r>
      <w:r>
        <w:t xml:space="preserve"> </w:t>
      </w:r>
      <w:r>
        <w:t xml:space="preserve">match to 3.1%.</w:t>
      </w:r>
      <w:r>
        <w:t xml:space="preserve"> </w:t>
      </w:r>
      <w:r>
        <w:rPr>
          <w:b/>
          <w:bCs/>
        </w:rPr>
        <w:t xml:space="preserve">The background mean is √(Nπ)/2, not √N</w:t>
      </w:r>
      <w:r>
        <w:t xml:space="preserve"> </w:t>
      </w:r>
      <w:r>
        <w:t xml:space="preserve">(trap 4); the 12.6% offset is that</w:t>
      </w:r>
      <w:r>
        <w:t xml:space="preserve"> </w:t>
      </w:r>
      <w:r>
        <w:t xml:space="preserve">correction, not a defect. Source:</w:t>
      </w:r>
      <w:r>
        <w:t xml:space="preserve"> </w:t>
      </w:r>
      <w:r>
        <w:rPr>
          <w:rStyle w:val="VerbatimChar"/>
        </w:rPr>
        <w:t xml:space="preserve">campaign/R4.json</w:t>
      </w:r>
      <w:r>
        <w:t xml:space="preserve">.</w:t>
      </w:r>
    </w:p>
    <w:p>
      <w:pPr>
        <w:pStyle w:val="BodyText"/>
      </w:pPr>
      <w:r>
        <w:drawing>
          <wp:inline>
            <wp:extent cx="5334000" cy="272842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ocs/paper/campaign/fig7_wall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7 | The walls, in decades — and which one actually binds.</w:t>
      </w:r>
      <w:r>
        <w:t xml:space="preserve"> </w:t>
      </w:r>
      <w:r>
        <w:t xml:space="preserve">Gap between achieved and</w:t>
      </w:r>
      <w:r>
        <w:t xml:space="preserve"> </w:t>
      </w:r>
      <w:r>
        <w:t xml:space="preserve">required per ledger row. Emission is drawn as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(−6.75 to +29.25) over the scoping</w:t>
      </w:r>
      <w:r>
        <w:t xml:space="preserve"> </w:t>
      </w:r>
      <w:r>
        <w:t xml:space="preserve">configuration set: at 10⁹ kg / 1 km / 1 MHz that wall does not bind. Coupling is evaluated at</w:t>
      </w:r>
      <w:r>
        <w:t xml:space="preserve"> </w:t>
      </w:r>
      <w:r>
        <w:t xml:space="preserve">that same best-case source and still demands 14.0 decades, with diffraction demanding 8.16 —</w:t>
      </w:r>
      <w:r>
        <w:t xml:space="preserve"> </w:t>
      </w:r>
      <w:r>
        <w:t xml:space="preserve">so beating the emission wall does not make the concept work. The transducer problem is out of</w:t>
      </w:r>
      <w:r>
        <w:t xml:space="preserve"> </w:t>
      </w:r>
      <w:r>
        <w:t xml:space="preserve">scope by charter (conjecture C-1); its absence is a scope statement, not a zero.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campaign/R5.json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campaign/R6.json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seven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The last one is the honest chart:</w:t>
      </w:r>
      <w:r>
        <w:t xml:space="preserve"> </w:t>
      </w:r>
      <w:r>
        <w:t xml:space="preserve">a bar per obstacle, each bar’s height being how many powers of ten we fall short — including</w:t>
      </w:r>
      <w:r>
        <w:t xml:space="preserve"> </w:t>
      </w:r>
      <w:r>
        <w:t xml:space="preserve">a bar for the problem we explicitly refuse to claim we’ve solved.</w:t>
      </w:r>
    </w:p>
    <w:bookmarkEnd w:id="67"/>
    <w:bookmarkStart w:id="68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t xml:space="preserve">Measured over nine</w:t>
      </w:r>
      <w:r>
        <w:t xml:space="preserve"> </w:t>
      </w:r>
      <w:r>
        <w:t xml:space="preserve">radii spanning two decades (10 m – 1 km) at fixed M = 10¹⁵ kg.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Variation across the sweep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(trajectory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identically 0.0</w:t>
            </w:r>
            <w:r>
              <w:t xml:space="preserve"> </w:t>
            </w:r>
            <w:r>
              <w:t xml:space="preserve">at all nine radii</w:t>
            </w:r>
          </w:p>
        </w:tc>
        <w:tc>
          <w:tcPr/>
          <w:p>
            <w:pPr>
              <w:pStyle w:val="Compact"/>
            </w:pPr>
            <w:r>
              <w:t xml:space="preserve">mass only — R and ρ are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steel (μ = 79.3 GPa)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 × 10⁵ ×</w:t>
            </w:r>
          </w:p>
        </w:tc>
        <w:tc>
          <w:tcPr/>
          <w:p>
            <w:pPr>
              <w:pStyle w:val="Compact"/>
            </w:pPr>
            <w:r>
              <w:t xml:space="preserve">R (as R⁵) and ρ (through μ̃)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tungsten (μ = 161 GPa)</w:t>
            </w:r>
          </w:p>
        </w:tc>
        <w:tc>
          <w:tcPr/>
          <w:p>
            <w:pPr>
              <w:pStyle w:val="Compact"/>
            </w:pPr>
            <w:r>
              <w:t xml:space="preserve">1.04 × 10⁵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osmium (μ = 222 GPa)</w:t>
            </w:r>
          </w:p>
        </w:tc>
        <w:tc>
          <w:tcPr/>
          <w:p>
            <w:pPr>
              <w:pStyle w:val="Compact"/>
            </w:pPr>
            <w:r>
              <w:t xml:space="preserve">7.57 × 10⁴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Finite-size retardation (1 kHz)</w:t>
            </w:r>
          </w:p>
        </w:tc>
        <w:tc>
          <w:tcPr/>
          <w:p>
            <w:pPr>
              <w:pStyle w:val="Compact"/>
            </w:pPr>
            <w:r>
              <w:t xml:space="preserve">2.2 × 10⁻⁹ → 2.2 × 10⁻⁵ departure from 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only</w:t>
            </w:r>
            <w:r>
              <w:t xml:space="preserve"> </w:t>
            </w:r>
            <w:r>
              <w:t xml:space="preserve">— the form factor is geometric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rigid row is an exact null, not a small number: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Sphere.self_quadrupole</w:t>
      </w:r>
      <w:r>
        <w:rPr>
          <w:i/>
          <w:iCs/>
        </w:rPr>
        <w:t xml:space="preserve"> </w:t>
      </w:r>
      <w:r>
        <w:rPr>
          <w:i/>
          <w:iCs/>
        </w:rPr>
        <w:t xml:space="preserve">returns 0.0 at</w:t>
      </w:r>
      <w:r>
        <w:rPr>
          <w:i/>
          <w:iCs/>
        </w:rPr>
        <w:t xml:space="preserve"> </w:t>
      </w:r>
      <w:r>
        <w:rPr>
          <w:i/>
          <w:iCs/>
        </w:rPr>
        <w:t xml:space="preserve">every radius. The falsifier for R3 was any radius dependence at all in that row.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numbers in</w:t>
      </w:r>
      <w:r>
        <w:t xml:space="preserve"> </w:t>
      </w:r>
      <w:r>
        <w:t xml:space="preserve">the Main, Discussion, Methods and Table 1 are of this kind.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Campaign output</w:t>
      </w:r>
      <w:r>
        <w:t xml:space="preserve"> </w:t>
      </w:r>
      <w:r>
        <w:t xml:space="preserve">— produced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docs/paper/campaign/R&lt;n&gt;.json</w:t>
      </w:r>
      <w:r>
        <w:t xml:space="preserve"> </w:t>
      </w:r>
      <w:r>
        <w:t xml:space="preserve">with a run manifest, and reported in Results, Table 2,</w:t>
      </w:r>
      <w:r>
        <w:t xml:space="preserve"> </w:t>
      </w:r>
      <w:r>
        <w:t xml:space="preserve">Table 3 and Figs. 3–7.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display item.</w:t>
      </w:r>
      <w:r>
        <w:t xml:space="preserve"> </w:t>
      </w:r>
      <w:r>
        <w:rPr>
          <w:b/>
          <w:bCs/>
        </w:rPr>
        <w:t xml:space="preserve">None remain.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or a campaign JSON does not belong in this manuscript. The campaign</w:t>
      </w:r>
      <w:r>
        <w:t xml:space="preserve"> </w:t>
      </w:r>
      <w:r>
        <w:t xml:space="preserve">runner evaluates each pre-registered falsifier itself and returns a verdict, so</w:t>
      </w:r>
      <w:r>
        <w:t xml:space="preserve"> </w:t>
      </w:r>
      <w:r>
        <w:t xml:space="preserve">“the run</w:t>
      </w:r>
      <w:r>
        <w:t xml:space="preserve"> </w:t>
      </w:r>
      <w:r>
        <w:t xml:space="preserve">succeeded”</w:t>
      </w:r>
      <w:r>
        <w:t xml:space="preserve"> </w:t>
      </w:r>
      <w:r>
        <w:t xml:space="preserve">is a machine-checkable claim rather than an editorial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70"/>
    <w:bookmarkStart w:id="71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repository is not public.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Public as of 2026-08-06</w:t>
      </w:r>
      <w:r>
        <w:t xml:space="preserve">, verified without</w:t>
      </w:r>
      <w:r>
        <w:t xml:space="preserve"> </w:t>
      </w:r>
      <w:r>
        <w:t xml:space="preserve">credentials (</w:t>
      </w:r>
      <w:r>
        <w:rPr>
          <w:rStyle w:val="VerbatimChar"/>
        </w:rPr>
        <w:t xml:space="preserve">private: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visibility: public</w:t>
      </w:r>
      <w:r>
        <w:t xml:space="preserve">, and an unauthenticated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 </w:t>
      </w:r>
      <w:r>
        <w:t xml:space="preserve">returns HEAD). Code availability is satisfied.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But a related claim in Methods is not.</w:t>
      </w:r>
      <w:r>
        <w:t xml:space="preserve"> </w:t>
      </w:r>
      <w:r>
        <w:t xml:space="preserve">Methods states that citation discipline is</w:t>
      </w:r>
      <w:r>
        <w:t xml:space="preserve"> </w:t>
      </w:r>
      <w:r>
        <w:t xml:space="preserve">“enforced in continuous integration”</w:t>
      </w:r>
      <w:r>
        <w:t xml:space="preserve"> </w:t>
      </w:r>
      <w:r>
        <w:t xml:space="preserve">and that the build fails without it. The repository’s</w:t>
      </w:r>
      <w:r>
        <w:t xml:space="preserve"> </w:t>
      </w:r>
      <w:r>
        <w:t xml:space="preserve">CI workflow has</w:t>
      </w:r>
      <w:r>
        <w:t xml:space="preserve"> </w:t>
      </w:r>
      <w:r>
        <w:rPr>
          <w:b/>
          <w:bCs/>
        </w:rPr>
        <w:t xml:space="preserve">never run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total_count: 0</w:t>
      </w:r>
      <w:r>
        <w:rPr>
          <w:b/>
          <w:bCs/>
        </w:rPr>
        <w:t xml:space="preserve"> </w:t>
      </w:r>
      <w:r>
        <w:rPr>
          <w:b/>
          <w:bCs/>
        </w:rPr>
        <w:t xml:space="preserve">across its entire history</w:t>
      </w:r>
      <w:r>
        <w:t xml:space="preserve">, despite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being present, correct, and committed 63 commits ago. The</w:t>
      </w:r>
      <w:r>
        <w:t xml:space="preserve"> </w:t>
      </w:r>
      <w:r>
        <w:t xml:space="preserve">check</w:t>
      </w:r>
      <w:r>
        <w:t xml:space="preserve"> </w:t>
      </w:r>
      <w:r>
        <w:rPr>
          <w:i/>
          <w:iCs/>
        </w:rPr>
        <w:t xml:space="preserve">script</w:t>
      </w:r>
      <w:r>
        <w:t xml:space="preserve"> </w:t>
      </w:r>
      <w:r>
        <w:t xml:space="preserve">is real and does run: it is gate 4 of the five-gate local check and has run</w:t>
      </w:r>
      <w:r>
        <w:t xml:space="preserve"> </w:t>
      </w:r>
      <w:r>
        <w:t xml:space="preserve">on every commit.</w:t>
      </w:r>
      <w:r>
        <w:t xml:space="preserve"> </w:t>
      </w:r>
      <w:r>
        <w:rPr>
          <w:b/>
          <w:bCs/>
        </w:rPr>
        <w:t xml:space="preserve">So the enforcement claim is true locally and false on the remote</w:t>
      </w:r>
      <w:r>
        <w:t xml:space="preserve">, and</w:t>
      </w:r>
      <w:r>
        <w:t xml:space="preserve"> </w:t>
      </w:r>
      <w:r>
        <w:t xml:space="preserve">the Methods wording must be corrected or the CI made to run before submission. See</w:t>
      </w:r>
      <w:r>
        <w:t xml:space="preserve"> </w:t>
      </w:r>
      <w:r>
        <w:t xml:space="preserve">BACKLOG T-2.9.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No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CITATION.cff</w:t>
      </w:r>
      <w:r>
        <w:rPr>
          <w:strike/>
        </w:rPr>
        <w:t xml:space="preserve">, no author list, no CRediT table.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 2026-08-06.</w:t>
      </w:r>
      <w:r>
        <w:t xml:space="preserve"> </w:t>
      </w:r>
      <w:r>
        <w:t xml:space="preserve">Author</w:t>
      </w:r>
      <w:r>
        <w:t xml:space="preserve"> </w:t>
      </w:r>
      <w:r>
        <w:t xml:space="preserve">list, CRediT statement and a schema-validated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are in place, with the</w:t>
      </w:r>
      <w:r>
        <w:t xml:space="preserve"> </w:t>
      </w:r>
      <w:r>
        <w:t xml:space="preserve">AI-assistance disclosure carrying per-model commit counts (35 Opus 5, 20 Sonnet 5, of 61</w:t>
      </w:r>
      <w:r>
        <w:t xml:space="preserve"> </w:t>
      </w:r>
      <w:r>
        <w:t xml:space="preserve">commits) and pointing at the git trailers as the authoritative record.</w:t>
      </w:r>
      <w:r>
        <w:t xml:space="preserve"> </w:t>
      </w:r>
      <w:r>
        <w:rPr>
          <w:b/>
          <w:bCs/>
        </w:rPr>
        <w:t xml:space="preserve">One item</w:t>
      </w:r>
      <w:r>
        <w:rPr>
          <w:b/>
          <w:bCs/>
        </w:rPr>
        <w:t xml:space="preserve"> </w:t>
      </w:r>
      <w:r>
        <w:rPr>
          <w:b/>
          <w:bCs/>
        </w:rPr>
        <w:t xml:space="preserve">remains: an ORCID</w:t>
      </w:r>
      <w:r>
        <w:t xml:space="preserve">, which is free to register and is the only durable identifier for a</w:t>
      </w:r>
      <w:r>
        <w:t xml:space="preserve"> </w:t>
      </w:r>
      <w:r>
        <w:t xml:space="preserve">project meant to outlive its authors.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Results campaign has not been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 2026-08-03.</w:t>
      </w:r>
      <w:r>
        <w:t xml:space="preserve"> </w:t>
      </w:r>
      <w:r>
        <w:t xml:space="preserve">R2–R6 confirmed,</w:t>
      </w:r>
      <w:r>
        <w:t xml:space="preserve"> </w:t>
      </w:r>
      <w:r>
        <w:t xml:space="preserve">R5 with a flagged finding. 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. Two items</w:t>
      </w:r>
      <w:r>
        <w:t xml:space="preserve"> </w:t>
      </w:r>
      <w:r>
        <w:t xml:space="preserve">follow from it: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the figures are draft-quality — legible and correct, but the</w:t>
      </w:r>
      <w:r>
        <w:t xml:space="preserve"> </w:t>
      </w:r>
      <w:r>
        <w:t xml:space="preserve">author intends to redraw them, and Figs. 1 and 2 (architecture, provenance apparatus)</w:t>
      </w:r>
      <w:r>
        <w:t xml:space="preserve"> </w:t>
      </w:r>
      <w:r>
        <w:t xml:space="preserve">are diagrams no code produces and remain undrawn;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campaign contradicted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figure, which is now corrected to a</w:t>
      </w:r>
      <w:r>
        <w:t xml:space="preserve"> </w:t>
      </w:r>
      <w:r>
        <w:t xml:space="preserve">−6.75 to +29.25 decade range in README.md, Methods and PHYSICS.md §8.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21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22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Reference 8 (DART) needs volume/page verification.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Verified 2026-08-03</w:t>
      </w:r>
      <w:r>
        <w:t xml:space="preserve"> </w:t>
      </w:r>
      <w:r>
        <w:t xml:space="preserve">against Crossref (doi:10.1038/s41586-023-05810-5; British</w:t>
      </w:r>
      <w:r>
        <w:t xml:space="preserve"> </w:t>
      </w:r>
      <w:r>
        <w:t xml:space="preserve">“defence”</w:t>
      </w:r>
      <w:r>
        <w:t xml:space="preserve"> </w:t>
      </w:r>
      <w:r>
        <w:t xml:space="preserve">as published).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Ten references are listed but never cited in the text.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Resolved 2026-08-06.</w:t>
      </w:r>
      <w:r>
        <w:t xml:space="preserve"> </w:t>
      </w:r>
      <w:r>
        <w:t xml:space="preserve">Seven were genuinely relied upon and are now cited where the manuscript uses them:</w:t>
      </w:r>
      <w:r>
        <w:t xml:space="preserve"> </w:t>
      </w:r>
      <w:r>
        <w:t xml:space="preserve">Hinderer and Cheng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 R3’s Love-number model, Thorne 1980 at the Discussion’s</w:t>
      </w:r>
      <w:r>
        <w:t xml:space="preserve"> </w:t>
      </w:r>
      <w:r>
        <w:t xml:space="preserve">“likely primary source”</w:t>
      </w:r>
      <w:r>
        <w:t xml:space="preserve">, Orfanidis where the spin-1 baseline is named, Born &amp; Wolf at</w:t>
      </w:r>
      <w:r>
        <w:t xml:space="preserve"> </w:t>
      </w:r>
      <w:r>
        <w:t xml:space="preserve">R5’s Airy-limited spot size, Zel’dovich &amp; Polnarev and Braginsky &amp; Thorne alongside</w:t>
      </w:r>
      <w:r>
        <w:t xml:space="preserve"> </w:t>
      </w:r>
      <w:r>
        <w:t xml:space="preserve">Favata for linear memory, DART at the ~43 N requirement it calibrates, and Fitzpatrick</w:t>
      </w:r>
      <w:r>
        <w:t xml:space="preserve"> </w:t>
      </w:r>
      <w:r>
        <w:t xml:space="preserve">at the Maclaurin-oblateness mechanism.</w:t>
      </w:r>
      <w:r>
        <w:t xml:space="preserve"> </w:t>
      </w:r>
      <w:r>
        <w:rPr>
          <w:b/>
          <w:bCs/>
        </w:rPr>
        <w:t xml:space="preserve">Three were removed</w:t>
      </w:r>
      <w:r>
        <w:t xml:space="preserve"> </w:t>
      </w:r>
      <w:r>
        <w:t xml:space="preserve">— MTW (superseded as the</w:t>
      </w:r>
      <w:r>
        <w:t xml:space="preserve"> </w:t>
      </w:r>
      <w:r>
        <w:t xml:space="preserve">e^(2iψ) source by ref. 21), Dolph and Taylor (amplitude tapering, which the manuscript</w:t>
      </w:r>
      <w:r>
        <w:t xml:space="preserve"> </w:t>
      </w:r>
      <w:r>
        <w:t xml:space="preserve">never discusses) — because they belong to the</w:t>
      </w:r>
      <w:r>
        <w:t xml:space="preserve"> </w:t>
      </w:r>
      <w:r>
        <w:rPr>
          <w:i/>
          <w:iCs/>
        </w:rPr>
        <w:t xml:space="preserve">codebase’s</w:t>
      </w:r>
      <w:r>
        <w:t xml:space="preserve"> </w:t>
      </w:r>
      <w:r>
        <w:t xml:space="preserve">equation registry in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, not to this reference list. The list renumbered 26 → 23, and every</w:t>
      </w:r>
      <w:r>
        <w:t xml:space="preserve"> </w:t>
      </w:r>
      <w:r>
        <w:t xml:space="preserve">reference is now cited exactly where its result is 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Figures are draft-quality.</w:t>
      </w:r>
      <w:r>
        <w:t xml:space="preserve"> </w:t>
      </w:r>
      <w:r>
        <w:t xml:space="preserve">Legible, correct, and regenerable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tools/run_campaign.py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tools/render_mermaid.py</w:t>
      </w:r>
      <w:r>
        <w:t xml:space="preserve">), but the author intends to redraw</w:t>
      </w:r>
      <w:r>
        <w:t xml:space="preserve"> </w:t>
      </w:r>
      <w:r>
        <w:t xml:space="preserve">them for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Eight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2026-08-07T05:27:35Z</dcterms:created>
  <dcterms:modified xsi:type="dcterms:W3CDTF">2026-08-07T05:27:35Z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