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c685e4646d84dea2d1e925a102ea2dd87d322e0"/>
    <w:p>
      <w:pPr>
        <w:pStyle w:val="Heading1"/>
      </w:pPr>
      <w:r>
        <w:t xml:space="preserve">Provenance-enforced simulation of engineered gravitational radiation for planetary defense: a spin-2 phased-array framework with a quantified feasibility ledger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bookmarkEnd w:id="24"/>
    <w:bookmarkStart w:id="25" w:name="r8-the-deflection-tradespace"/>
    <w:p>
      <w:pPr>
        <w:pStyle w:val="Heading3"/>
      </w:pPr>
      <w:r>
        <w:t xml:space="preserve">R8 — The deflection tradespace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Across the tradespace of detection distance, closure velocity, threat-object</w:t>
      </w:r>
      <w:r>
        <w:t xml:space="preserve"> </w:t>
      </w:r>
      <w:r>
        <w:t xml:space="preserve">diameter and density, is any cell feasible — and does detection distance actually cancel</w:t>
      </w:r>
      <w:r>
        <w:t xml:space="preserve"> </w:t>
      </w:r>
      <w:r>
        <w:t xml:space="preserve">out of the required luminosity, as the closed-form derivation predicts?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tradespace</w:t>
      </w:r>
      <w:r>
        <w:t xml:space="preserve"> </w:t>
      </w:r>
      <w:r>
        <w:t xml:space="preserve">over a 6×6×6×2 grid (432 cells): detection distance 0.1–40 AU</w:t>
      </w:r>
      <w:r>
        <w:t xml:space="preserve"> </w:t>
      </w:r>
      <w:r>
        <w:t xml:space="preserve">(Earth’s nominal radius and mass parameter throughout are the IAU 2015 values</w:t>
      </w:r>
      <w:r>
        <w:t xml:space="preserve">30</w:t>
      </w:r>
      <w:r>
        <w:t xml:space="preserve">),</w:t>
      </w:r>
      <w:r>
        <w:t xml:space="preserve"> </w:t>
      </w:r>
      <w:r>
        <w:t xml:space="preserve">closure speed 5–72 km/s (5 and 10 km/s span slow encounters; 17.3 km/s is the debiased</w:t>
      </w:r>
      <w:r>
        <w:t xml:space="preserve"> </w:t>
      </w:r>
      <w:r>
        <w:t xml:space="preserve">mean Earth-impact speed of 20.6 km/s</w:t>
      </w:r>
      <w:r>
        <w:t xml:space="preserve">25</w:t>
      </w:r>
      <w:r>
        <w:t xml:space="preserve"> </w:t>
      </w:r>
      <w:r>
        <w:t xml:space="preserve">with gravitational focusing removed; 72 km/s</w:t>
      </w:r>
      <w:r>
        <w:t xml:space="preserve"> </w:t>
      </w:r>
      <w:r>
        <w:t xml:space="preserve">is a retrograde long-period-comet closure), diameter 20 m – 10 km, and the two measured</w:t>
      </w:r>
      <w:r>
        <w:t xml:space="preserve"> </w:t>
      </w:r>
      <w:r>
        <w:t xml:space="preserve">threat-body densities in this manuscript’s own anchor set (1190 kg m⁻³, Bennu</w:t>
      </w:r>
      <w:r>
        <w:t xml:space="preserve">28</w:t>
      </w:r>
      <w:r>
        <w:t xml:space="preserve">;</w:t>
      </w:r>
      <w:r>
        <w:t xml:space="preserve"> </w:t>
      </w:r>
      <w:r>
        <w:t xml:space="preserve">2400 kg m⁻³, Dimorphos</w:t>
      </w:r>
      <w:r>
        <w:t xml:space="preserve">8</w:t>
      </w:r>
      <w:r>
        <w:t xml:space="preserve">). For each cell: the required miss distance from</w:t>
      </w:r>
      <w:r>
        <w:t xml:space="preserve"> </w:t>
      </w:r>
      <w:r>
        <w:t xml:space="preserve">gravitational focusing (elementary two-body mechanics — no citable numbered source was</w:t>
      </w:r>
      <w:r>
        <w:t xml:space="preserve"> </w:t>
      </w:r>
      <w:r>
        <w:t xml:space="preserve">found despite four documented search attempts, so this is admitted as our derivation, the</w:t>
      </w:r>
      <w:r>
        <w:t xml:space="preserve"> </w:t>
      </w:r>
      <w:r>
        <w:t xml:space="preserve">same treatment Methods gives the uniform-sphere finite-size form factor); the required Δv</w:t>
      </w:r>
      <w:r>
        <w:t xml:space="preserve"> </w:t>
      </w:r>
      <w:r>
        <w:t xml:space="preserve">in two published regimes, an impulsive floor and a secular estimate</w:t>
      </w:r>
      <w:r>
        <w:t xml:space="preserve">24</w:t>
      </w:r>
      <w:r>
        <w:t xml:space="preserve">; the force</w:t>
      </w:r>
      <w:r>
        <w:t xml:space="preserve"> </w:t>
      </w:r>
      <w:r>
        <w:t xml:space="preserve">implied by applying that Δv continuously over the full lead time; and the luminosity the</w:t>
      </w:r>
      <w:r>
        <w:t xml:space="preserve"> </w:t>
      </w:r>
      <w:r>
        <w:t xml:space="preserve">absorption channel (R6) would need to deliver that force, at the source-target distance.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8. Panel a: required-luminosity gap in decades over (closure speed,</w:t>
      </w:r>
      <w:r>
        <w:t xml:space="preserve"> </w:t>
      </w:r>
      <w:r>
        <w:t xml:space="preserve">diameter) at the stony density, evaluated at the largest grid distance (40 AU), with this</w:t>
      </w:r>
      <w:r>
        <w:t xml:space="preserve"> </w:t>
      </w:r>
      <w:r>
        <w:t xml:space="preserve">manuscript’s own three mass anchors marked. Panel b: required Δv against lead time, both</w:t>
      </w:r>
      <w:r>
        <w:t xml:space="preserve"> </w:t>
      </w:r>
      <w:r>
        <w:t xml:space="preserve">regimes, bracketing the five published medians</w:t>
      </w:r>
      <w:r>
        <w:t xml:space="preserve">26</w:t>
      </w:r>
      <w:r>
        <w:t xml:space="preserve"> </w:t>
      </w:r>
      <w:r>
        <w:t xml:space="preserve">exactly as reported, with the</w:t>
      </w:r>
      <w:r>
        <w:t xml:space="preserve"> </w:t>
      </w:r>
      <w:r>
        <w:t xml:space="preserve">discovery-literature warning-time reality check</w:t>
      </w:r>
      <w:r>
        <w:t xml:space="preserve">29</w:t>
      </w:r>
      <w:r>
        <w:t xml:space="preserve"> </w:t>
      </w:r>
      <w:r>
        <w:t xml:space="preserve">shaded.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cell reporting</w:t>
      </w:r>
      <w:r>
        <w:t xml:space="preserve"> </w:t>
      </w:r>
      <w:r>
        <w:rPr>
          <w:rStyle w:val="VerbatimChar"/>
        </w:rPr>
        <w:t xml:space="preserve">gap_decades ≤ 0</w:t>
      </w:r>
      <w:r>
        <w:t xml:space="preserve"> </w:t>
      </w:r>
      <w:r>
        <w:t xml:space="preserve">anywhere in the grid — a vanished wall</w:t>
      </w:r>
      <w:r>
        <w:t xml:space="preserve"> </w:t>
      </w:r>
      <w:r>
        <w:t xml:space="preserve">is a defect until proven a discovery, per this project’s standing rule — or the derived</w:t>
      </w:r>
      <w:r>
        <w:t xml:space="preserve"> </w:t>
      </w:r>
      <w:r>
        <w:t xml:space="preserve">d-cancellation failing to hold to within 10⁻⁹ decades.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campaign/R8.json</w:t>
      </w:r>
      <w:r>
        <w:t xml:space="preserve">; Fig. 8).</w:t>
      </w:r>
    </w:p>
    <w:p>
      <w:pPr>
        <w:pStyle w:val="BodyText"/>
      </w:pPr>
      <w:r>
        <w:rPr>
          <w:b/>
          <w:bCs/>
        </w:rPr>
        <w:t xml:space="preserve">The detection-distance dependence cancels exactly.</w:t>
      </w:r>
      <w:r>
        <w:t xml:space="preserve"> </w:t>
      </w:r>
      <w:r>
        <w:t xml:space="preserve">With the lead time fixed by radial</w:t>
      </w:r>
      <w:r>
        <w:t xml:space="preserve"> </w:t>
      </w:r>
      <w:r>
        <w:t xml:space="preserve">closing (t = d/v</w:t>
      </w:r>
      <w:r>
        <w:t xml:space="preserve">∞</w:t>
      </w:r>
      <w:r>
        <w:t xml:space="preserve">), the deflecting force applied over the full lead time, and the</w:t>
      </w:r>
      <w:r>
        <w:t xml:space="preserve"> </w:t>
      </w:r>
      <w:r>
        <w:t xml:space="preserve">absorption channel’s force sized at the source-target distance, the required luminosity</w:t>
      </w:r>
      <w:r>
        <w:t xml:space="preserve"> </w:t>
      </w:r>
      <w:r>
        <w:t xml:space="preserve">reduces algebraically to</w:t>
      </w:r>
    </w:p>
    <w:p>
      <w:pPr>
        <w:pStyle w:val="BodyText"/>
      </w:pPr>
      <w:r>
        <w:t xml:space="preserve">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 / (k σ),</w:t>
      </w:r>
    </w:p>
    <w:p>
      <w:pPr>
        <w:pStyle w:val="BodyText"/>
      </w:pPr>
      <w:r>
        <w:t xml:space="preserve">where k is 1 (impulsive floor) or 3 (secular) and b</w:t>
      </w:r>
      <w:r>
        <w:t xml:space="preserve">req</w:t>
      </w:r>
      <w:r>
        <w:t xml:space="preserve"> </w:t>
      </w:r>
      <w:r>
        <w:t xml:space="preserve">is the focusing-corrected</w:t>
      </w:r>
      <w:r>
        <w:t xml:space="preserve"> </w:t>
      </w:r>
      <w:r>
        <w:t xml:space="preserve">miss distance —</w:t>
      </w:r>
      <w:r>
        <w:t xml:space="preserve"> </w:t>
      </w:r>
      <w:r>
        <w:rPr>
          <w:b/>
          <w:bCs/>
        </w:rPr>
        <w:t xml:space="preserve">detection distance d does not appear.</w:t>
      </w:r>
      <w:r>
        <w:t xml:space="preserve"> </w:t>
      </w:r>
      <w:r>
        <w:t xml:space="preserve">Detecting a threat farther away</w:t>
      </w:r>
      <w:r>
        <w:t xml:space="preserve"> </w:t>
      </w:r>
      <w:r>
        <w:t xml:space="preserve">buys a longer lead time and therefore a smaller required Δv and force, exactly as</w:t>
      </w:r>
      <w:r>
        <w:t xml:space="preserve"> </w:t>
      </w:r>
      <w:r>
        <w:t xml:space="preserve">intuition expects, but it buys</w:t>
      </w:r>
      <w:r>
        <w:t xml:space="preserve"> </w:t>
      </w:r>
      <w:r>
        <w:rPr>
          <w:b/>
          <w:bCs/>
        </w:rPr>
        <w:t xml:space="preserve">no reduction in the required luminosity</w:t>
      </w:r>
      <w:r>
        <w:t xml:space="preserve">: the inverse-</w:t>
      </w:r>
      <w:r>
        <w:t xml:space="preserve"> </w:t>
      </w:r>
      <w:r>
        <w:t xml:space="preserve">square dilution over the longer path exactly cancels what the longer lead time saves. The</w:t>
      </w:r>
      <w:r>
        <w:t xml:space="preserve"> </w:t>
      </w:r>
      <w:r>
        <w:t xml:space="preserve">432-cell grid confirms this to floating-point precision (maximum spread across detection</w:t>
      </w:r>
      <w:r>
        <w:t xml:space="preserve"> </w:t>
      </w:r>
      <w:r>
        <w:t xml:space="preserve">distance at fixed closure speed, diameter and density: 3.6 × 10⁻¹⁵ decades, eleven orders</w:t>
      </w:r>
      <w:r>
        <w:t xml:space="preserve"> </w:t>
      </w:r>
      <w:r>
        <w:t xml:space="preserve">of magnitude inside the 10⁻⁹-decade falsifier bound) — this is not an approximate</w:t>
      </w:r>
      <w:r>
        <w:t xml:space="preserve"> </w:t>
      </w:r>
      <w:r>
        <w:t xml:space="preserve">tendency, it is an identity the numerics were never going to disagree with once the model</w:t>
      </w:r>
      <w:r>
        <w:t xml:space="preserve"> </w:t>
      </w:r>
      <w:r>
        <w:t xml:space="preserve">was fixed, and it is reported as a structural fact about the coupling channel rather than</w:t>
      </w:r>
      <w:r>
        <w:t xml:space="preserve"> </w:t>
      </w:r>
      <w:r>
        <w:t xml:space="preserve">a measurement with error bars.</w:t>
      </w:r>
    </w:p>
    <w:p>
      <w:pPr>
        <w:pStyle w:val="BodyText"/>
      </w:pPr>
      <w:r>
        <w:rPr>
          <w:b/>
          <w:bCs/>
        </w:rPr>
        <w:t xml:space="preserve">The best case in the entire grid is still 29.0 decades short.</w:t>
      </w:r>
      <w:r>
        <w:t xml:space="preserve"> </w:t>
      </w:r>
      <w:r>
        <w:t xml:space="preserve">The most favourable</w:t>
      </w:r>
      <w:r>
        <w:t xml:space="preserve"> </w:t>
      </w:r>
      <w:r>
        <w:t xml:space="preserve">cell — the smallest, lightest object (20 m, rubble-pile density) approached most slowly</w:t>
      </w:r>
      <w:r>
        <w:t xml:space="preserve"> </w:t>
      </w:r>
      <w:r>
        <w:t xml:space="preserve">(5 km/s), in the secular regime — requires 7.8 × 10²⁷ W of luminosity against the 7.5 × 10⁻²</w:t>
      </w:r>
      <w:r>
        <w:t xml:space="preserve"> </w:t>
      </w:r>
      <w:r>
        <w:t xml:space="preserve">W the R6 configuration achieves: a shortfall of</w:t>
      </w:r>
      <w:r>
        <w:t xml:space="preserve"> </w:t>
      </w:r>
      <w:r>
        <w:rPr>
          <w:b/>
          <w:bCs/>
        </w:rPr>
        <w:t xml:space="preserve">29.0 decades</w:t>
      </w:r>
      <w:r>
        <w:t xml:space="preserve">, indistinguishable at this</w:t>
      </w:r>
      <w:r>
        <w:t xml:space="preserve"> </w:t>
      </w:r>
      <w:r>
        <w:t xml:space="preserve">scale from every other cell in the grid (every cell falls between 29.0 and 34.4 decades —</w:t>
      </w:r>
      <w:r>
        <w:t xml:space="preserve"> </w:t>
      </w:r>
      <w:r>
        <w:t xml:space="preserve">a band about five decades wide, dominated entirely by mass and closure speed and not at</w:t>
      </w:r>
      <w:r>
        <w:t xml:space="preserve"> </w:t>
      </w:r>
      <w:r>
        <w:t xml:space="preserve">all by how far away the object is first seen). Extending the detection network does not open a path</w:t>
      </w:r>
      <w:r>
        <w:t xml:space="preserve"> </w:t>
      </w:r>
      <w:r>
        <w:t xml:space="preserve">through this wall; it only trades one already-small quantity (Δv) for another quantity</w:t>
      </w:r>
      <w:r>
        <w:t xml:space="preserve"> </w:t>
      </w:r>
      <w:r>
        <w:t xml:space="preserve">this framework has already shown, independently, to be short by 29–32 decades under R6.</w:t>
      </w:r>
    </w:p>
    <w:p>
      <w:pPr>
        <w:pStyle w:val="BodyText"/>
      </w:pPr>
      <w:r>
        <w:rPr>
          <w:b/>
          <w:bCs/>
        </w:rPr>
        <w:t xml:space="preserve">Detection distance is nonetheless the quantity that determines whether any of this is</w:t>
      </w:r>
      <w:r>
        <w:rPr>
          <w:b/>
          <w:bCs/>
        </w:rPr>
        <w:t xml:space="preserve"> </w:t>
      </w:r>
      <w:r>
        <w:rPr>
          <w:b/>
          <w:bCs/>
        </w:rPr>
        <w:t xml:space="preserve">academic.</w:t>
      </w:r>
      <w:r>
        <w:t xml:space="preserve"> </w:t>
      </w:r>
      <w:r>
        <w:t xml:space="preserve">The Δv literature</w:t>
      </w:r>
      <w:r>
        <w:t xml:space="preserve">24,26</w:t>
      </w:r>
      <w:r>
        <w:t xml:space="preserve"> </w:t>
      </w:r>
      <w:r>
        <w:t xml:space="preserve">is usually quoted at decades of warning, but a</w:t>
      </w:r>
      <w:r>
        <w:t xml:space="preserve"> </w:t>
      </w:r>
      <w:r>
        <w:t xml:space="preserve">2026 simulated-discovery study of the Vera Rubin Observatory</w:t>
      </w:r>
      <w:r>
        <w:t xml:space="preserve">29</w:t>
      </w:r>
      <w:r>
        <w:t xml:space="preserve"> </w:t>
      </w:r>
      <w:r>
        <w:t xml:space="preserve">finds a median</w:t>
      </w:r>
      <w:r>
        <w:t xml:space="preserve"> </w:t>
      </w:r>
      <w:r>
        <w:t xml:space="preserve">warning of 12.4 days for 10–20 m impactors, 21.5 days for 20–50 m, and 106.2 days for</w:t>
      </w:r>
      <w:r>
        <w:t xml:space="preserve"> </w:t>
      </w:r>
      <w:r>
        <w:t xml:space="preserve">50–140 m — even above 140 m, only 39% of impactors are found more than a year out. Fig. 8b</w:t>
      </w:r>
      <w:r>
        <w:t xml:space="preserve"> </w:t>
      </w:r>
      <w:r>
        <w:t xml:space="preserve">makes this concrete: the region the discovery literature actually delivers sits at the</w:t>
      </w:r>
      <w:r>
        <w:t xml:space="preserve"> </w:t>
      </w:r>
      <w:r>
        <w:t xml:space="preserve">extreme short-lead edge of the plot, far to the left of where the five published Δv</w:t>
      </w:r>
      <w:r>
        <w:t xml:space="preserve"> </w:t>
      </w:r>
      <w:r>
        <w:t xml:space="preserve">medians land. A detection system reaching 40 AU converts a Chelyabinsk-class</w:t>
      </w:r>
      <w:r>
        <w:t xml:space="preserve">27</w:t>
      </w:r>
      <w:r>
        <w:t xml:space="preserve"> </w:t>
      </w:r>
      <w:r>
        <w:t xml:space="preserve">“zero warning”</w:t>
      </w:r>
      <w:r>
        <w:t xml:space="preserve"> </w:t>
      </w:r>
      <w:r>
        <w:t xml:space="preserve">event into roughly a decade of lead time (t = d/v</w:t>
      </w:r>
      <w:r>
        <w:t xml:space="preserve">∞</w:t>
      </w:r>
      <w:r>
        <w:t xml:space="preserve"> </w:t>
      </w:r>
      <w:r>
        <w:t xml:space="preserve">≈ 9.5 yr at</w:t>
      </w:r>
      <w:r>
        <w:t xml:space="preserve"> </w:t>
      </w:r>
      <w:r>
        <w:t xml:space="preserve">20 km/s) — which is precisely the regime in which the published cm/s-class Δv figures</w:t>
      </w:r>
      <w:r>
        <w:t xml:space="preserve"> </w:t>
      </w:r>
      <w:r>
        <w:t xml:space="preserve">apply at all. This section therefore</w:t>
      </w:r>
      <w:r>
        <w:t xml:space="preserve"> </w:t>
      </w:r>
      <w:r>
        <w:rPr>
          <w:b/>
          <w:bCs/>
        </w:rPr>
        <w:t xml:space="preserve">quantifies the wall rather than removing it</w:t>
      </w:r>
      <w:r>
        <w:t xml:space="preserve">: the</w:t>
      </w:r>
      <w:r>
        <w:t xml:space="preserve"> </w:t>
      </w:r>
      <w:r>
        <w:t xml:space="preserve">luminosity gap does not move with detection distance, but the question of whether a</w:t>
      </w:r>
      <w:r>
        <w:t xml:space="preserve"> </w:t>
      </w:r>
      <w:r>
        <w:t xml:space="preserve">smaller, more tractable Δv gap is even reachable in time is answered almost entirely by</w:t>
      </w:r>
      <w:r>
        <w:t xml:space="preserve"> </w:t>
      </w:r>
      <w:r>
        <w:t xml:space="preserve">how far away the object is first seen.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asked a natural follow-up question: across every realistic</w:t>
      </w:r>
      <w:r>
        <w:t xml:space="preserve"> </w:t>
      </w:r>
      <w:r>
        <w:t xml:space="preserve">combination of how far away we spot the threat, how fast it’s closing, and how big and</w:t>
      </w:r>
      <w:r>
        <w:t xml:space="preserve"> </w:t>
      </w:r>
      <w:r>
        <w:t xml:space="preserve">dense it is, does the gravity-wave approach ever get within reach — and does spotting it</w:t>
      </w:r>
      <w:r>
        <w:t xml:space="preserve"> </w:t>
      </w:r>
      <w:r>
        <w:t xml:space="preserve">earlier actually help? The answer to the first question is no, by a wide and remarkably</w:t>
      </w:r>
      <w:r>
        <w:t xml:space="preserve"> </w:t>
      </w:r>
      <w:r>
        <w:t xml:space="preserve">consistent margin: the best case anywhere in 432 different scenarios is still short by</w:t>
      </w:r>
      <w:r>
        <w:t xml:space="preserve"> </w:t>
      </w:r>
      <w:r>
        <w:t xml:space="preserve">about 29 orders of magnitude, roughly the same shortfall no matter which scenario you</w:t>
      </w:r>
      <w:r>
        <w:t xml:space="preserve"> </w:t>
      </w:r>
      <w:r>
        <w:t xml:space="preserve">pick. The answer to the second question is more interesting and is the real finding here:</w:t>
      </w:r>
      <w:r>
        <w:t xml:space="preserve"> </w:t>
      </w:r>
      <w:r>
        <w:t xml:space="preserve">detecting the threat earlier makes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required smaller — exactly what you’d</w:t>
      </w:r>
      <w:r>
        <w:t xml:space="preserve"> </w:t>
      </w:r>
      <w:r>
        <w:t xml:space="preserve">expect — but it makes</w:t>
      </w:r>
      <w:r>
        <w:t xml:space="preserve"> </w:t>
      </w:r>
      <w:r>
        <w:rPr>
          <w:b/>
          <w:bCs/>
        </w:rPr>
        <w:t xml:space="preserve">no difference at all</w:t>
      </w:r>
      <w:r>
        <w:t xml:space="preserve"> </w:t>
      </w:r>
      <w:r>
        <w:t xml:space="preserve">to how much power the wave-emitting</w:t>
      </w:r>
      <w:r>
        <w:t xml:space="preserve"> </w:t>
      </w:r>
      <w:r>
        <w:t xml:space="preserve">apparatus would need, because the benefit of extra warning time is exactly cancelled by</w:t>
      </w:r>
      <w:r>
        <w:t xml:space="preserve"> </w:t>
      </w:r>
      <w:r>
        <w:t xml:space="preserve">the object being farther away when you first see it. That is a clean, provable fact about</w:t>
      </w:r>
      <w:r>
        <w:t xml:space="preserve"> </w:t>
      </w:r>
      <w:r>
        <w:t xml:space="preserve">the physics, not a rough tendency. What earlier detection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buy is relevant to a</w:t>
      </w:r>
      <w:r>
        <w:t xml:space="preserve"> </w:t>
      </w:r>
      <w:r>
        <w:t xml:space="preserve">completely different, much more down-to-earth problem: real asteroid surveys typically</w:t>
      </w:r>
      <w:r>
        <w:t xml:space="preserve"> </w:t>
      </w:r>
      <w:r>
        <w:t xml:space="preserve">give only days to weeks of warning, not decades, and the modest nudge methods the field</w:t>
      </w:r>
      <w:r>
        <w:t xml:space="preserve"> </w:t>
      </w:r>
      <w:r>
        <w:t xml:space="preserve">already relies on only work with decades of notice. So better detection remains valuable —</w:t>
      </w:r>
      <w:r>
        <w:t xml:space="preserve"> </w:t>
      </w:r>
      <w:r>
        <w:t xml:space="preserve">just not for the reason this framework was built to explore.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7"/>
    <w:bookmarkStart w:id="38" w:name="methods"/>
    <w:p>
      <w:pPr>
        <w:pStyle w:val="Heading2"/>
      </w:pPr>
      <w:r>
        <w:t xml:space="preserve">Methods</w:t>
      </w:r>
    </w:p>
    <w:bookmarkStart w:id="28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8"/>
    <w:bookmarkStart w:id="29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9"/>
    <w:bookmarkStart w:id="30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30"/>
    <w:bookmarkStart w:id="31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1"/>
    <w:bookmarkStart w:id="32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2"/>
    <w:bookmarkStart w:id="33" w:name="the-deflection-tradespace"/>
    <w:p>
      <w:pPr>
        <w:pStyle w:val="Heading3"/>
      </w:pPr>
      <w:r>
        <w:t xml:space="preserve">The deflection tradespace</w:t>
      </w:r>
    </w:p>
    <w:p>
      <w:pPr>
        <w:pStyle w:val="FirstParagraph"/>
      </w:pPr>
      <w:r>
        <w:t xml:space="preserve">R8 chains six decisions, each fixed before the grid was run and each independently</w:t>
      </w:r>
      <w:r>
        <w:t xml:space="preserve"> </w:t>
      </w:r>
      <w:r>
        <w:t xml:space="preserve">citable or, where the literature offered nothing checkable, explicitly admitted as this</w:t>
      </w:r>
      <w:r>
        <w:t xml:space="preserve"> </w:t>
      </w:r>
      <w:r>
        <w:t xml:space="preserve">project’s own elementary derivation rather than left unstated.</w:t>
      </w:r>
    </w:p>
    <w:p>
      <w:pPr>
        <w:pStyle w:val="BodyText"/>
      </w:pPr>
      <w:r>
        <w:rPr>
          <w:b/>
          <w:bCs/>
        </w:rPr>
        <w:t xml:space="preserve">Miss criterion.</w:t>
      </w:r>
      <w:r>
        <w:t xml:space="preserve"> </w:t>
      </w:r>
      <w:r>
        <w:t xml:space="preserve">An object misses Earth if its unperturbed impact parameter exceeds</w:t>
      </w:r>
      <w:r>
        <w:t xml:space="preserve"> </w:t>
      </w:r>
      <w:r>
        <w:t xml:space="preserve">b</w:t>
      </w:r>
      <w:r>
        <w:t xml:space="preserve">req</w:t>
      </w:r>
      <w:r>
        <w:t xml:space="preserve">(v</w:t>
      </w:r>
      <w:r>
        <w:t xml:space="preserve">∞</w:t>
      </w:r>
      <w:r>
        <w:t xml:space="preserve">) = R</w:t>
      </w:r>
      <w:r>
        <w:t xml:space="preserve">⊕</w:t>
      </w:r>
      <w:r>
        <w:t xml:space="preserve">√(1 + v</w:t>
      </w:r>
      <w:r>
        <w:t xml:space="preserve">esc</w:t>
      </w:r>
      <w:r>
        <w:t xml:space="preserve">²/v</w:t>
      </w:r>
      <w:r>
        <w:t xml:space="preserve">∞</w:t>
      </w:r>
      <w:r>
        <w:t xml:space="preserve">²) — gravitational focusing, an</w:t>
      </w:r>
      <w:r>
        <w:t xml:space="preserve"> </w:t>
      </w:r>
      <w:r>
        <w:t xml:space="preserve">elementary consequence of energy and angular-momentum conservation in an unperturbed</w:t>
      </w:r>
      <w:r>
        <w:t xml:space="preserve"> </w:t>
      </w:r>
      <w:r>
        <w:t xml:space="preserve">hyperbolic encounter. No open source with a citable equation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for this exact</w:t>
      </w:r>
      <w:r>
        <w:t xml:space="preserve"> </w:t>
      </w:r>
      <w:r>
        <w:t xml:space="preserve">combination was found despite four documented search attempts; per this project’s rule 1</w:t>
      </w:r>
      <w:r>
        <w:t xml:space="preserve"> </w:t>
      </w:r>
      <w:r>
        <w:t xml:space="preserve">a chapter reference is not a citation, so this is admitted as our own derivation rather</w:t>
      </w:r>
      <w:r>
        <w:t xml:space="preserve"> </w:t>
      </w:r>
      <w:r>
        <w:t xml:space="preserve">than attached to a guessed source, the same treatment Methods gives the uniform-sphere</w:t>
      </w:r>
      <w:r>
        <w:t xml:space="preserve"> </w:t>
      </w:r>
      <w:r>
        <w:t xml:space="preserve">finite-size form factor above.</w:t>
      </w:r>
    </w:p>
    <w:p>
      <w:pPr>
        <w:pStyle w:val="BodyText"/>
      </w:pPr>
      <w:r>
        <w:rPr>
          <w:b/>
          <w:bCs/>
        </w:rPr>
        <w:t xml:space="preserve">Lead time.</w:t>
      </w:r>
      <w:r>
        <w:t xml:space="preserve"> </w:t>
      </w:r>
      <w:r>
        <w:t xml:space="preserve">t = d/v</w:t>
      </w:r>
      <w:r>
        <w:t xml:space="preserve">∞</w:t>
      </w:r>
      <w:r>
        <w:t xml:space="preserve">, radial closing at the hyperbolic excess speed from a</w:t>
      </w:r>
      <w:r>
        <w:t xml:space="preserve"> </w:t>
      </w:r>
      <w:r>
        <w:t xml:space="preserve">detection distance d measured from Earth. Heliocentric encounter geometry is a stated</w:t>
      </w:r>
      <w:r>
        <w:t xml:space="preserve"> </w:t>
      </w:r>
      <w:r>
        <w:t xml:space="preserve">approximation, carried in the assumption ledger.</w:t>
      </w:r>
    </w:p>
    <w:p>
      <w:pPr>
        <w:pStyle w:val="BodyText"/>
      </w:pPr>
      <w:r>
        <w:rPr>
          <w:b/>
          <w:bCs/>
        </w:rPr>
        <w:t xml:space="preserve">Required Δv, two published bounds.</w:t>
      </w:r>
      <w:r>
        <w:t xml:space="preserve"> </w:t>
      </w:r>
      <w:r>
        <w:t xml:space="preserve">The impulsive-floor estimate Δv = b</w:t>
      </w:r>
      <w:r>
        <w:t xml:space="preserve">req</w:t>
      </w:r>
      <w:r>
        <w:t xml:space="preserve">/t is</w:t>
      </w:r>
      <w:r>
        <w:t xml:space="preserve"> </w:t>
      </w:r>
      <w:r>
        <w:t xml:space="preserve">an upper bound valid at every lead time. The secular estimate Δv = b</w:t>
      </w:r>
      <w:r>
        <w:t xml:space="preserve">req</w:t>
      </w:r>
      <w:r>
        <w:t xml:space="preserve">/(3t) follows</w:t>
      </w:r>
      <w:r>
        <w:t xml:space="preserve"> </w:t>
      </w:r>
      <w:r>
        <w:t xml:space="preserve">ref. 24’s eq. (2)–(3) for a tangential impulse on a near-circular orbit, with the paper’s</w:t>
      </w:r>
      <w:r>
        <w:t xml:space="preserve"> </w:t>
      </w:r>
      <w:r>
        <w:t xml:space="preserve">geometry factor γ set to 1 (real encounters have γ ∈ [0.65, 1] per its Table 1, making</w:t>
      </w:r>
      <w:r>
        <w:t xml:space="preserve"> </w:t>
      </w:r>
      <w:r>
        <w:t xml:space="preserve">this estimate optimistic by at most 0.19 decades — negligible against the ~30-decade gaps</w:t>
      </w:r>
      <w:r>
        <w:t xml:space="preserve"> </w:t>
      </w:r>
      <w:r>
        <w:t xml:space="preserve">this section reports, and recorded in the assumption ledger rather than silently ignored).</w:t>
      </w:r>
      <w:r>
        <w:t xml:space="preserve"> </w:t>
      </w:r>
      <w:r>
        <w:t xml:space="preserve">The secular regime requires multiple orbits for the drift to accumulate and is not</w:t>
      </w:r>
      <w:r>
        <w:t xml:space="preserve"> </w:t>
      </w:r>
      <w:r>
        <w:t xml:space="preserve">evaluated below one orbital period of lead time. Both bounds are checked directly against</w:t>
      </w:r>
      <w:r>
        <w:t xml:space="preserve"> </w:t>
      </w:r>
      <w:r>
        <w:t xml:space="preserve">ref. 26’s five published medians (10–50 yr before impact, 1 R</w:t>
      </w:r>
      <w:r>
        <w:t xml:space="preserve">⊕</w:t>
      </w:r>
      <w:r>
        <w:t xml:space="preserve"> </w:t>
      </w:r>
      <w:r>
        <w:t xml:space="preserve">miss target): every</w:t>
      </w:r>
      <w:r>
        <w:t xml:space="preserve"> </w:t>
      </w:r>
      <w:r>
        <w:t xml:space="preserve">published value falls between the two bounds, at every lead time, with zero tolerance.</w:t>
      </w:r>
    </w:p>
    <w:p>
      <w:pPr>
        <w:pStyle w:val="BodyText"/>
      </w:pPr>
      <w:r>
        <w:rPr>
          <w:b/>
          <w:bCs/>
        </w:rPr>
        <w:t xml:space="preserve">Thrust duration and coupling channel.</w:t>
      </w:r>
      <w:r>
        <w:t xml:space="preserve"> </w:t>
      </w:r>
      <w:r>
        <w:t xml:space="preserve">The deflecting force is applied continuously</w:t>
      </w:r>
      <w:r>
        <w:t xml:space="preserve"> </w:t>
      </w:r>
      <w:r>
        <w:t xml:space="preserve">over the full lead time — the best case for the spike, recorded in the assumption ledger.</w:t>
      </w:r>
      <w:r>
        <w:t xml:space="preserve"> </w:t>
      </w:r>
      <w:r>
        <w:t xml:space="preserve">Absorption thrust (R6) is the only net-force radiative channel modelled here — R6</w:t>
      </w:r>
      <w:r>
        <w:t xml:space="preserve"> </w:t>
      </w:r>
      <w:r>
        <w:t xml:space="preserve">established that the tidal channel produces strain, not force, and cannot alter a</w:t>
      </w:r>
      <w:r>
        <w:t xml:space="preserve"> </w:t>
      </w:r>
      <w:r>
        <w:t xml:space="preserve">trajectory — and the required luminosity is sized at the source-target distance with a</w:t>
      </w:r>
      <w:r>
        <w:t xml:space="preserve"> </w:t>
      </w:r>
      <w:r>
        <w:t xml:space="preserve">geometric cross-section πD²/4.</w:t>
      </w:r>
    </w:p>
    <w:p>
      <w:pPr>
        <w:pStyle w:val="BodyText"/>
      </w:pPr>
      <w:r>
        <w:rPr>
          <w:b/>
          <w:bCs/>
        </w:rPr>
        <w:t xml:space="preserve">The d-cancellation follows algebraically, not numerically</w:t>
      </w:r>
      <w:r>
        <w:t xml:space="preserve">, from those four decisions.</w:t>
      </w:r>
      <w:r>
        <w:t xml:space="preserve"> </w:t>
      </w:r>
      <w:r>
        <w:t xml:space="preserve">Writing F</w:t>
      </w:r>
      <w:r>
        <w:t xml:space="preserve">req</w:t>
      </w:r>
      <w:r>
        <w:t xml:space="preserve"> </w:t>
      </w:r>
      <w:r>
        <w:t xml:space="preserve">= m b</w:t>
      </w:r>
      <w:r>
        <w:t xml:space="preserve">req</w:t>
      </w:r>
      <w:r>
        <w:t xml:space="preserve">/(k t²) and L</w:t>
      </w:r>
      <w:r>
        <w:t xml:space="preserve">req</w:t>
      </w:r>
      <w:r>
        <w:t xml:space="preserve"> </w:t>
      </w:r>
      <w:r>
        <w:t xml:space="preserve">= F</w:t>
      </w:r>
      <w:r>
        <w:t xml:space="preserve">req</w:t>
      </w:r>
      <w:r>
        <w:t xml:space="preserve">·4πd²c/σ, then substituting</w:t>
      </w:r>
      <w:r>
        <w:t xml:space="preserve"> </w:t>
      </w:r>
      <w:r>
        <w:t xml:space="preserve">t = d/v</w:t>
      </w:r>
      <w:r>
        <w:t xml:space="preserve">∞</w:t>
      </w:r>
      <w:r>
        <w:t xml:space="preserve">, gives 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²/(k σ) — d cancels exactly, for</w:t>
      </w:r>
      <w:r>
        <w:t xml:space="preserve"> </w:t>
      </w:r>
      <w:r>
        <w:t xml:space="preserve">either value of k. The grid confirms this to floating-point precision (Results, R8)</w:t>
      </w:r>
      <w:r>
        <w:t xml:space="preserve"> </w:t>
      </w:r>
      <w:r>
        <w:t xml:space="preserve">rather than merely asserting it, but the cancellation itself is a property of the</w:t>
      </w:r>
      <w:r>
        <w:t xml:space="preserve"> </w:t>
      </w:r>
      <w:r>
        <w:t xml:space="preserve">equations, established once, not re-derived per cell.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chain of assumptions behind the tradespace section, made</w:t>
      </w:r>
      <w:r>
        <w:t xml:space="preserve"> </w:t>
      </w:r>
      <w:r>
        <w:t xml:space="preserve">explicit rather than buried in code. How close does an object have to pass to still hit</w:t>
      </w:r>
      <w:r>
        <w:t xml:space="preserve"> </w:t>
      </w:r>
      <w:r>
        <w:t xml:space="preserve">Earth — that’s elementary orbital mechanics, and we couldn’t find a textbook equation</w:t>
      </w:r>
      <w:r>
        <w:t xml:space="preserve"> </w:t>
      </w:r>
      <w:r>
        <w:t xml:space="preserve">number for the exact combination we needed, so we worked it out ourselves and say so</w:t>
      </w:r>
      <w:r>
        <w:t xml:space="preserve"> </w:t>
      </w:r>
      <w:r>
        <w:t xml:space="preserve">plainly rather than attaching a guessed citation. How much warning time we get from a</w:t>
      </w:r>
      <w:r>
        <w:t xml:space="preserve"> </w:t>
      </w:r>
      <w:r>
        <w:t xml:space="preserve">detection distance — a simple</w:t>
      </w:r>
      <w:r>
        <w:t xml:space="preserve"> </w:t>
      </w:r>
      <w:r>
        <w:t xml:space="preserve">“distance over speed”</w:t>
      </w:r>
      <w:r>
        <w:t xml:space="preserve"> </w:t>
      </w:r>
      <w:r>
        <w:t xml:space="preserve">approximation, flagged as an</w:t>
      </w:r>
      <w:r>
        <w:t xml:space="preserve"> </w:t>
      </w:r>
      <w:r>
        <w:t xml:space="preserve">approximation. How hard a push that warning time requires — we use two different published</w:t>
      </w:r>
      <w:r>
        <w:t xml:space="preserve"> </w:t>
      </w:r>
      <w:r>
        <w:t xml:space="preserve">formulas that bracket the true answer from both sides, and checked our bracket against five</w:t>
      </w:r>
      <w:r>
        <w:t xml:space="preserve"> </w:t>
      </w:r>
      <w:r>
        <w:t xml:space="preserve">real published numbers rather than just our own arithmetic. And how much wave power a</w:t>
      </w:r>
      <w:r>
        <w:t xml:space="preserve"> </w:t>
      </w:r>
      <w:r>
        <w:t xml:space="preserve">push translates to — reusing the same</w:t>
      </w:r>
      <w:r>
        <w:t xml:space="preserve"> </w:t>
      </w:r>
      <w:r>
        <w:t xml:space="preserve">“does gravity radiation exert force”</w:t>
      </w:r>
      <w:r>
        <w:t xml:space="preserve"> </w:t>
      </w:r>
      <w:r>
        <w:t xml:space="preserve">calculation</w:t>
      </w:r>
      <w:r>
        <w:t xml:space="preserve"> </w:t>
      </w:r>
      <w:r>
        <w:t xml:space="preserve">from earlier in the paper. The interesting mathematical fact, which we prove with algebra</w:t>
      </w:r>
      <w:r>
        <w:t xml:space="preserve"> </w:t>
      </w:r>
      <w:r>
        <w:t xml:space="preserve">rather than just observe in the numbers, is that detection distance drops out of the very</w:t>
      </w:r>
      <w:r>
        <w:t xml:space="preserve"> </w:t>
      </w:r>
      <w:r>
        <w:t xml:space="preserve">last step completely — which is why farther-out detection helps the push but not the power</w:t>
      </w:r>
      <w:r>
        <w:t xml:space="preserve"> </w:t>
      </w:r>
      <w:r>
        <w:t xml:space="preserve">requirement, no matter how carefully you set up the numbers.</w:t>
      </w:r>
    </w:p>
    <w:bookmarkEnd w:id="33"/>
    <w:bookmarkStart w:id="34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4"/>
    <w:bookmarkStart w:id="35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Stated precisely, because the repository’s CI has never run</w:t>
      </w:r>
      <w:r>
        <w:t xml:space="preserve"> </w:t>
      </w:r>
      <w:r>
        <w:t xml:space="preserve">(BACKLOG T-2.9): the check below is a real, enforcing gate — it is one of five that must pass</w:t>
      </w:r>
      <w:r>
        <w:t xml:space="preserve"> </w:t>
      </w:r>
      <w:r>
        <w:t xml:space="preserve">before any commit, and it has run on every commit in this project’s history — but it has run</w:t>
      </w:r>
      <w:r>
        <w:t xml:space="preserve"> </w:t>
      </w:r>
      <w:r>
        <w:rPr>
          <w:b/>
          <w:bCs/>
        </w:rPr>
        <w:t xml:space="preserve">locally</w:t>
      </w:r>
      <w:r>
        <w:t xml:space="preserve">, not in GitHub Actions. Calling it</w:t>
      </w:r>
      <w:r>
        <w:t xml:space="preserve"> </w:t>
      </w:r>
      <w:r>
        <w:t xml:space="preserve">“continuous integration”</w:t>
      </w:r>
      <w:r>
        <w:t xml:space="preserve"> </w:t>
      </w:r>
      <w:r>
        <w:t xml:space="preserve">overstates where the</w:t>
      </w:r>
      <w:r>
        <w:t xml:space="preserve"> </w:t>
      </w:r>
      <w:r>
        <w:t xml:space="preserve">enforcement happens, and that wording is flagged for correction rather than left standing.</w:t>
      </w:r>
    </w:p>
    <w:p>
      <w:pPr>
        <w:pStyle w:val="BodyText"/>
      </w:pP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5"/>
    <w:bookmarkStart w:id="36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6"/>
    <w:bookmarkStart w:id="37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9"/>
    <w:bookmarkStart w:id="40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</w:t>
      </w:r>
      <w:r>
        <w:t xml:space="preserve">, verified</w:t>
      </w:r>
      <w:r>
        <w:t xml:space="preserve"> </w:t>
      </w:r>
      <w:r>
        <w:t xml:space="preserve">2026-08-06 without credentials. Every figure and number in the Results section is</w:t>
      </w:r>
      <w:r>
        <w:t xml:space="preserve"> </w:t>
      </w:r>
      <w:r>
        <w:t xml:space="preserve">regenerated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whose run manifest pins the code version,</w:t>
      </w:r>
      <w:r>
        <w:t xml:space="preserve"> </w:t>
      </w:r>
      <w:r>
        <w:t xml:space="preserve">parameters and seeds.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40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Compact"/>
        <w:numPr>
          <w:ilvl w:val="0"/>
          <w:numId w:val="1005"/>
        </w:numPr>
      </w:pPr>
      <w:r>
        <w:t xml:space="preserve">Izzo, D. On the deflection of potentially hazardous objects. AAS 05-141 (15th</w:t>
      </w:r>
      <w:r>
        <w:t xml:space="preserve"> </w:t>
      </w:r>
      <w:r>
        <w:t xml:space="preserve">AAS/AIAA Space Flight Mechanics Conference, 2005).</w:t>
      </w:r>
      <w:r>
        <w:t xml:space="preserve"> </w:t>
      </w:r>
      <w:r>
        <w:t xml:space="preserve">https://www.esa.int/gsp/ACT/doc/MAD/pub/ACT-RPR-MAD-2005-OnTheDeflectionOfPotentiallyHazardousObjects.pdf</w:t>
      </w:r>
      <w:r>
        <w:t xml:space="preserve"> </w:t>
      </w:r>
      <w:r>
        <w:rPr>
          <w:i/>
          <w:iCs/>
        </w:rPr>
        <w:t xml:space="preserve">(Open access. Eqs. (1)–(3) confirmed by eye 2026-08-08 — the PDF’s own metadata</w:t>
      </w:r>
      <w:r>
        <w:rPr>
          <w:i/>
          <w:iCs/>
        </w:rPr>
        <w:t xml:space="preserve"> </w:t>
      </w:r>
      <w:r>
        <w:rPr>
          <w:i/>
          <w:iCs/>
        </w:rPr>
        <w:t xml:space="preserve">title is stale and names an unrelated debris-cloud paper; the content is correct.)</w:t>
      </w:r>
    </w:p>
    <w:p>
      <w:pPr>
        <w:pStyle w:val="Compact"/>
        <w:numPr>
          <w:ilvl w:val="0"/>
          <w:numId w:val="1005"/>
        </w:numPr>
      </w:pPr>
      <w:r>
        <w:t xml:space="preserve">Greenstreet, S., Ngo, H. &amp; Gladman, B. The orbital distribution of Near-Earth</w:t>
      </w:r>
      <w:r>
        <w:t xml:space="preserve"> </w:t>
      </w:r>
      <w:r>
        <w:t xml:space="preserve">Objects inside Earth’s orbit.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217</w:t>
      </w:r>
      <w:r>
        <w:t xml:space="preserve">, 355–366 (2012).</w:t>
      </w:r>
    </w:p>
    <w:p>
      <w:pPr>
        <w:pStyle w:val="Compact"/>
        <w:numPr>
          <w:ilvl w:val="0"/>
          <w:numId w:val="1005"/>
        </w:numPr>
      </w:pPr>
      <w:r>
        <w:t xml:space="preserve">Greenstreet, S., Lu, E. T., Loucks, M., Carrico, J., Kichkaylo, T. &amp; Jurić, M.</w:t>
      </w:r>
      <w:r>
        <w:t xml:space="preserve"> </w:t>
      </w:r>
      <w:r>
        <w:t xml:space="preserve">Required deflection impulses as a function of time before impact for Earth-impacting</w:t>
      </w:r>
      <w:r>
        <w:t xml:space="preserve"> </w:t>
      </w:r>
      <w:r>
        <w:t xml:space="preserve">asteroids.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347</w:t>
      </w:r>
      <w:r>
        <w:t xml:space="preserve">, 113792 (2020).</w:t>
      </w:r>
    </w:p>
    <w:p>
      <w:pPr>
        <w:pStyle w:val="Compact"/>
        <w:numPr>
          <w:ilvl w:val="0"/>
          <w:numId w:val="1005"/>
        </w:numPr>
      </w:pPr>
      <w:r>
        <w:t xml:space="preserve">Popova, O.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Chelyabinsk airburst, damage assessment, meteorite recovery,</w:t>
      </w:r>
      <w:r>
        <w:t xml:space="preserve"> </w:t>
      </w:r>
      <w:r>
        <w:t xml:space="preserve">and characterization.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342</w:t>
      </w:r>
      <w:r>
        <w:t xml:space="preserve">, 1069–1073 (2013).</w:t>
      </w:r>
    </w:p>
    <w:p>
      <w:pPr>
        <w:pStyle w:val="Compact"/>
        <w:numPr>
          <w:ilvl w:val="0"/>
          <w:numId w:val="1005"/>
        </w:numPr>
      </w:pPr>
      <w:r>
        <w:t xml:space="preserve">Scheeres, D.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dynamic geophysical environment of (101955) Bennu based</w:t>
      </w:r>
      <w:r>
        <w:t xml:space="preserve"> </w:t>
      </w:r>
      <w:r>
        <w:t xml:space="preserve">on OSIRIS-REx measurements.</w:t>
      </w:r>
      <w:r>
        <w:t xml:space="preserve"> </w:t>
      </w:r>
      <w:r>
        <w:rPr>
          <w:i/>
          <w:iCs/>
        </w:rPr>
        <w:t xml:space="preserve">Nature Astron.</w:t>
      </w:r>
      <w:r>
        <w:t xml:space="preserve"> </w:t>
      </w:r>
      <w:r>
        <w:rPr>
          <w:b/>
          <w:bCs/>
        </w:rPr>
        <w:t xml:space="preserve">3</w:t>
      </w:r>
      <w:r>
        <w:t xml:space="preserve">, 352–361 (2019).</w:t>
      </w:r>
      <w:r>
        <w:t xml:space="preserve"> </w:t>
      </w:r>
      <w:r>
        <w:rPr>
          <w:i/>
          <w:iCs/>
        </w:rPr>
        <w:t xml:space="preserve">(Not to be</w:t>
      </w:r>
      <w:r>
        <w:rPr>
          <w:i/>
          <w:iCs/>
        </w:rPr>
        <w:t xml:space="preserve"> </w:t>
      </w:r>
      <w:r>
        <w:rPr>
          <w:i/>
          <w:iCs/>
        </w:rPr>
        <w:t xml:space="preserve">confused with Lauretta, D. S.</w:t>
      </w:r>
      <w:r>
        <w:rPr>
          <w:i/>
          <w:iCs/>
        </w:rPr>
        <w:t xml:space="preserve"> </w:t>
      </w:r>
      <w:r>
        <w:t xml:space="preserve">et al.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t xml:space="preserve">Nature*</w:t>
      </w:r>
      <w:r>
        <w:t xml:space="preserve"> </w:t>
      </w:r>
      <w:r>
        <w:rPr>
          <w:b/>
          <w:bCs/>
        </w:rPr>
        <w:t xml:space="preserve">568</w:t>
      </w:r>
      <w:r>
        <w:t xml:space="preserve">, 55 (2019), which covers</w:t>
      </w:r>
      <w:r>
        <w:t xml:space="preserve"> </w:t>
      </w:r>
      <w:r>
        <w:t xml:space="preserve">surface particle ejection and is the wrong citation for Bennu’s mass and density.)*</w:t>
      </w:r>
    </w:p>
    <w:p>
      <w:pPr>
        <w:pStyle w:val="Compact"/>
        <w:numPr>
          <w:ilvl w:val="0"/>
          <w:numId w:val="1005"/>
        </w:numPr>
      </w:pPr>
      <w:r>
        <w:t xml:space="preserve">Cheng, Q., Scolnic, D., Kurlander, J. A., Chow, I. &amp; Fernandes, M. B. Assessing the</w:t>
      </w:r>
      <w:r>
        <w:t xml:space="preserve"> </w:t>
      </w:r>
      <w:r>
        <w:t xml:space="preserve">Vera Rubin Observatory’s ability to discover asteroid impactors before they collide</w:t>
      </w:r>
      <w:r>
        <w:t xml:space="preserve"> </w:t>
      </w:r>
      <w:r>
        <w:t xml:space="preserve">with Earth. arXiv:2601.16255 (2026).</w:t>
      </w:r>
    </w:p>
    <w:p>
      <w:pPr>
        <w:pStyle w:val="Compact"/>
        <w:numPr>
          <w:ilvl w:val="0"/>
          <w:numId w:val="1005"/>
        </w:numPr>
      </w:pPr>
      <w:r>
        <w:t xml:space="preserve">Prša,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Nominal values for selected solar and planetary quantities: IAU</w:t>
      </w:r>
      <w:r>
        <w:t xml:space="preserve"> </w:t>
      </w:r>
      <w:r>
        <w:t xml:space="preserve">2015 Resolution B3.</w:t>
      </w:r>
      <w:r>
        <w:t xml:space="preserve"> </w:t>
      </w:r>
      <w:r>
        <w:rPr>
          <w:i/>
          <w:iCs/>
        </w:rPr>
        <w:t xml:space="preserve">Astron. J.</w:t>
      </w:r>
      <w:r>
        <w:t xml:space="preserve"> </w:t>
      </w:r>
      <w:r>
        <w:rPr>
          <w:b/>
          <w:bCs/>
        </w:rPr>
        <w:t xml:space="preserve">152</w:t>
      </w:r>
      <w:r>
        <w:t xml:space="preserve">, 41 (2016). arXiv:1605.09788.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  <w:r>
        <w:t xml:space="preserve"> </w:t>
      </w:r>
      <w:r>
        <w:rPr>
          <w:b/>
          <w:bCs/>
        </w:rPr>
        <w:t xml:space="preserve">Ref. 28</w:t>
      </w:r>
      <w:r>
        <w:t xml:space="preserve"> </w:t>
      </w:r>
      <w:r>
        <w:t xml:space="preserve">carries its own correction</w:t>
      </w:r>
      <w:r>
        <w:t xml:space="preserve"> </w:t>
      </w:r>
      <w:r>
        <w:t xml:space="preserve">note for the same reason: an earlier, wrong candidate source (Lauretta 2019) was ruled out</w:t>
      </w:r>
      <w:r>
        <w:t xml:space="preserve"> </w:t>
      </w:r>
      <w:r>
        <w:t xml:space="preserve">during verification and is named so nobody re-introduces it.</w:t>
      </w:r>
    </w:p>
    <w:p>
      <w:r>
        <w:pict>
          <v:rect style="width:0;height:1.5pt" o:hralign="center" o:hrstd="t" o:hr="t"/>
        </w:pict>
      </w:r>
    </w:p>
    <w:bookmarkEnd w:id="41"/>
    <w:bookmarkStart w:id="4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2"/>
    <w:bookmarkStart w:id="43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4"/>
    <w:bookmarkStart w:id="74" w:name="display-items"/>
    <w:p>
      <w:pPr>
        <w:pStyle w:val="Heading2"/>
      </w:pPr>
      <w:r>
        <w:t xml:space="preserve">Display items</w:t>
      </w:r>
    </w:p>
    <w:bookmarkStart w:id="45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5"/>
    <w:bookmarkStart w:id="46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6"/>
    <w:bookmarkStart w:id="47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7"/>
    <w:bookmarkStart w:id="72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rPr>
          <w:i/>
          <w:iCs/>
        </w:rPr>
        <w:t xml:space="preserve">Figures 3–7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tools/run_campaign.py</w:t>
      </w:r>
      <w:r>
        <w:rPr>
          <w:i/>
          <w:iCs/>
        </w:rPr>
        <w:t xml:space="preserve">; Figures 1–2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tools/render_mermaid.py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Explanatory prose lives in these legends rather than inside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figures</w:t>
      </w:r>
      <w:r>
        <w:rPr>
          <w:i/>
          <w:iCs/>
        </w:rPr>
        <w:t xml:space="preserve">, so each panel carries only feature labels — a rule line, a ringed point, an axis</w:t>
      </w:r>
      <w:r>
        <w:rPr>
          <w:i/>
          <w:iCs/>
        </w:rPr>
        <w:t xml:space="preserve"> </w:t>
      </w:r>
      <w:r>
        <w:rPr>
          <w:i/>
          <w:iCs/>
        </w:rPr>
        <w:t xml:space="preserve">marker. A figure that lectures is a figure whose caption was not trusted to do its job. All</w:t>
      </w:r>
      <w:r>
        <w:rPr>
          <w:i/>
          <w:iCs/>
        </w:rPr>
        <w:t xml:space="preserve"> </w:t>
      </w:r>
      <w:r>
        <w:rPr>
          <w:i/>
          <w:iCs/>
        </w:rPr>
        <w:t xml:space="preserve">five data figures share one colourblind-safe palette (Okabe-Ito), in which black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the correct prediction and vermillion always the spin-1 or naive one.</w:t>
      </w:r>
    </w:p>
    <w:p>
      <w:pPr>
        <w:pStyle w:val="BodyText"/>
      </w:pPr>
      <w:r>
        <w:drawing>
          <wp:inline>
            <wp:extent cx="5334000" cy="535441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paper/campaign/fig1_architectur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ocs/paper/campaign/fig2_provena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5519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ocs/paper/campaign/fig3_mismatc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(</w:t>
      </w:r>
      <w:r>
        <w:rPr>
          <w:b/>
          <w:bCs/>
        </w:rPr>
        <w:t xml:space="preserve">ringed</w:t>
      </w:r>
      <w:r>
        <w:t xml:space="preserve">) is complete at every N</w:t>
      </w:r>
      <w:r>
        <w:t xml:space="preserve"> </w:t>
      </w:r>
      <w:r>
        <w:t xml:space="preserve">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7796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ocs/paper/campaign/fig4_align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paper/campaign/fig5_degenerac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91615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paper/campaign/fig6_focu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27284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paper/campaign/fig7_wall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BodyText"/>
      </w:pPr>
      <w:r>
        <w:drawing>
          <wp:inline>
            <wp:extent cx="5334000" cy="226574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ocs/paper/campaign/fig8_tradespac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8 | The deflection tradespace: detection distance cancels, mass and speed do not.</w:t>
      </w:r>
      <w:r>
        <w:t xml:space="preserve"> </w:t>
      </w:r>
      <w:r>
        <w:rPr>
          <w:b/>
          <w:bCs/>
        </w:rPr>
        <w:t xml:space="preserve">a</w:t>
      </w:r>
      <w:r>
        <w:t xml:space="preserve">, Required-luminosity gap (decades) over closure speed and diameter at the stony</w:t>
      </w:r>
      <w:r>
        <w:t xml:space="preserve"> </w:t>
      </w:r>
      <w:r>
        <w:t xml:space="preserve">density (2400 kg m⁻³), evaluated at the grid’s largest detection distance (40 AU) — the</w:t>
      </w:r>
      <w:r>
        <w:t xml:space="preserve"> </w:t>
      </w:r>
      <w:r>
        <w:t xml:space="preserve">axes that survive the cancellation shown in</w:t>
      </w:r>
      <w:r>
        <w:t xml:space="preserve"> </w:t>
      </w:r>
      <w:r>
        <w:rPr>
          <w:b/>
          <w:bCs/>
        </w:rPr>
        <w:t xml:space="preserve">b</w:t>
      </w:r>
      <w:r>
        <w:t xml:space="preserve">. Dotted lines mark this manuscript’s own</w:t>
      </w:r>
      <w:r>
        <w:t xml:space="preserve"> </w:t>
      </w:r>
      <w:r>
        <w:t xml:space="preserve">three mass anchors (Chelyabinsk, Dimorphos, Bennu) by diameter.</w:t>
      </w:r>
      <w:r>
        <w:t xml:space="preserve"> </w:t>
      </w:r>
      <w:r>
        <w:rPr>
          <w:b/>
          <w:bCs/>
        </w:rPr>
        <w:t xml:space="preserve">b</w:t>
      </w:r>
      <w:r>
        <w:t xml:space="preserve">, Required Δv against</w:t>
      </w:r>
      <w:r>
        <w:t xml:space="preserve"> </w:t>
      </w:r>
      <w:r>
        <w:t xml:space="preserve">lead time: the impulsive-floor and secular bounds (solid, dashed), the five published</w:t>
      </w:r>
      <w:r>
        <w:t xml:space="preserve"> </w:t>
      </w:r>
      <w:r>
        <w:t xml:space="preserve">medians they bracket (points), and the median discovery-to-impact warning times for three</w:t>
      </w:r>
      <w:r>
        <w:t xml:space="preserve"> </w:t>
      </w:r>
      <w:r>
        <w:t xml:space="preserve">size classes from a simulated Vera Rubin Observatory survey (dotted verticals, shaded</w:t>
      </w:r>
      <w:r>
        <w:t xml:space="preserve"> </w:t>
      </w:r>
      <w:r>
        <w:t xml:space="preserve">region), showing how far short of the decades-scale lead time the Δv literature assumes.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eight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One is the honest chart: a bar</w:t>
      </w:r>
      <w:r>
        <w:t xml:space="preserve"> </w:t>
      </w:r>
      <w:r>
        <w:t xml:space="preserve">per obstacle, each bar’s height being how many powers of ten we fall short — including a</w:t>
      </w:r>
      <w:r>
        <w:t xml:space="preserve"> </w:t>
      </w:r>
      <w:r>
        <w:t xml:space="preserve">bar for the problem we explicitly refuse to claim we’ve solved. The last one answers a</w:t>
      </w:r>
      <w:r>
        <w:t xml:space="preserve"> </w:t>
      </w:r>
      <w:r>
        <w:t xml:space="preserve">natural follow-up question across hundreds of scenarios at once: does spotting the threat</w:t>
      </w:r>
      <w:r>
        <w:t xml:space="preserve"> </w:t>
      </w:r>
      <w:r>
        <w:t xml:space="preserve">earlier ever make the core physics problem easier? The left panel shows it doesn’t, in a</w:t>
      </w:r>
      <w:r>
        <w:t xml:space="preserve"> </w:t>
      </w:r>
      <w:r>
        <w:t xml:space="preserve">strikingly consistent way. The right panel shows what earlier detection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good for</w:t>
      </w:r>
      <w:r>
        <w:t xml:space="preserve"> </w:t>
      </w:r>
      <w:r>
        <w:t xml:space="preserve">instead — giving real asteroid-deflection methods the years of notice they actually need,</w:t>
      </w:r>
      <w:r>
        <w:t xml:space="preserve"> </w:t>
      </w:r>
      <w:r>
        <w:t xml:space="preserve">which current sky surveys mostly do not provide.</w:t>
      </w:r>
    </w:p>
    <w:bookmarkEnd w:id="72"/>
    <w:bookmarkStart w:id="73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3–8. R8 (the deflection tradespace,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, 432 cells)</w:t>
      </w:r>
      <w:r>
        <w:t xml:space="preserve"> </w:t>
      </w:r>
      <w:r>
        <w:t xml:space="preserve">is of this kind: every number in that subsection and in Fig. 8, including the 29.0-decade</w:t>
      </w:r>
      <w:r>
        <w:t xml:space="preserve"> </w:t>
      </w:r>
      <w:r>
        <w:t xml:space="preserve">best case and the ≤3.6 × 10⁻¹⁵-decade d-cancellation spread, is read directly from the</w:t>
      </w:r>
      <w:r>
        <w:t xml:space="preserve"> </w:t>
      </w:r>
      <w:r>
        <w:t xml:space="preserve">campaign’s own JSON output rather than computed separately for the prose.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5"/>
    <w:bookmarkStart w:id="76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repository is not public.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Public as of 2026-08-06</w:t>
      </w:r>
      <w:r>
        <w:t xml:space="preserve">, verified without</w:t>
      </w:r>
      <w:r>
        <w:t xml:space="preserve"> </w:t>
      </w:r>
      <w:r>
        <w:t xml:space="preserve">credentials (</w:t>
      </w:r>
      <w:r>
        <w:rPr>
          <w:rStyle w:val="VerbatimChar"/>
        </w:rPr>
        <w:t xml:space="preserve">private: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visibility: public</w:t>
      </w:r>
      <w:r>
        <w:t xml:space="preserve">, and an unauthenticated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returns HEAD). Code availability is satisfied.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But a related claim in Methods is not.</w:t>
      </w:r>
      <w:r>
        <w:t xml:space="preserve"> </w:t>
      </w:r>
      <w:r>
        <w:t xml:space="preserve">Methods states that citation discipline is</w:t>
      </w:r>
      <w:r>
        <w:t xml:space="preserve"> </w:t>
      </w:r>
      <w:r>
        <w:t xml:space="preserve">“enforced in continuous integration”</w:t>
      </w:r>
      <w:r>
        <w:t xml:space="preserve"> </w:t>
      </w:r>
      <w:r>
        <w:t xml:space="preserve">and that the build fails without it. The repository’s</w:t>
      </w:r>
      <w:r>
        <w:t xml:space="preserve"> </w:t>
      </w:r>
      <w:r>
        <w:t xml:space="preserve">CI workflow has</w:t>
      </w:r>
      <w:r>
        <w:t xml:space="preserve"> </w:t>
      </w:r>
      <w:r>
        <w:rPr>
          <w:b/>
          <w:bCs/>
        </w:rPr>
        <w:t xml:space="preserve">never run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total_count: 0</w:t>
      </w:r>
      <w:r>
        <w:rPr>
          <w:b/>
          <w:bCs/>
        </w:rPr>
        <w:t xml:space="preserve"> </w:t>
      </w:r>
      <w:r>
        <w:rPr>
          <w:b/>
          <w:bCs/>
        </w:rPr>
        <w:t xml:space="preserve">across its entire history</w:t>
      </w:r>
      <w:r>
        <w:t xml:space="preserve">, despite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being present, correct, and committed 63 commits ago. The</w:t>
      </w:r>
      <w:r>
        <w:t xml:space="preserve"> </w:t>
      </w:r>
      <w:r>
        <w:t xml:space="preserve">check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is real and does run: it is gate 4 of the five-gate local check and has run</w:t>
      </w:r>
      <w:r>
        <w:t xml:space="preserve"> </w:t>
      </w:r>
      <w:r>
        <w:t xml:space="preserve">on every commit.</w:t>
      </w:r>
      <w:r>
        <w:t xml:space="preserve"> </w:t>
      </w:r>
      <w:r>
        <w:rPr>
          <w:b/>
          <w:bCs/>
        </w:rPr>
        <w:t xml:space="preserve">So the enforcement claim is true locally and false on the remote</w:t>
      </w:r>
      <w:r>
        <w:t xml:space="preserve">, and</w:t>
      </w:r>
      <w:r>
        <w:t xml:space="preserve"> </w:t>
      </w:r>
      <w:r>
        <w:t xml:space="preserve">the Methods wording must be corrected or the CI made to run before submission. See</w:t>
      </w:r>
      <w:r>
        <w:t xml:space="preserve"> </w:t>
      </w:r>
      <w:r>
        <w:t xml:space="preserve">BACKLOG T-2.9.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6"/>
    <w:bookmarkEnd w:id="77"/>
    <w:sectPr>
      <w:footerReference r:id="rIdPageNumberFooter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ageNumberFooter" Target="footer1.xml" Type="http://schemas.openxmlformats.org/officeDocument/2006/relationships/footer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2026-08-09T05:50:24Z</dcterms:created>
  <dcterms:modified xsi:type="dcterms:W3CDTF">2026-08-09T05:50:24Z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