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934"/>
        <w:gridCol w:w="6696"/>
      </w:tblGrid>
      <w:tr>
        <w:tblPrEx>
          <w:shd w:val="clear" w:color="auto" w:fill="auto"/>
        </w:tblPrEx>
        <w:trPr>
          <w:trHeight w:val="24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Nome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Marcar Consulta, Exames e Vacinas</w:t>
            </w:r>
          </w:p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Atores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Utente,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dico, Enfermeiro, Pessoal Administrativo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Objetivo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Permitir ao utente marcar consultas e exames com os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dicos e enfermeiros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veis.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Pr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é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-Condi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çõ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es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 deve estar registado no sistema</w:t>
            </w:r>
          </w:p>
          <w:p>
            <w:pPr>
              <w:pStyle w:val="Estilo da tabela 2"/>
              <w:bidi w:val="0"/>
            </w:pP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 e enfermeiro devem estar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veis na data/hor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rio pretendido pelo utente</w:t>
            </w:r>
          </w:p>
        </w:tc>
      </w:tr>
      <w:tr>
        <w:tblPrEx>
          <w:shd w:val="clear" w:color="auto" w:fill="auto"/>
        </w:tblPrEx>
        <w:trPr>
          <w:trHeight w:val="72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s-Condi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çõ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es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consulta/exame registada no sistema</w:t>
            </w:r>
          </w:p>
          <w:p>
            <w:pPr>
              <w:pStyle w:val="Estilo da tabela 2"/>
              <w:bidi w:val="0"/>
            </w:pP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 e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notificados da 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36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Fluxo de Eventos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1 - Utente acede ao sistema e seleciona a op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marcar consulta ou exame.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2 - Sistema apresenta a lista de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dicos e enfermeiros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veis.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3 - Utente seleciona 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 ou enfermeiro desejado e a data/hor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rio pretendido.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4 - Sistema verifica a disponibilidade do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na data/hor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rio selecionado.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5 - Se 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estiver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vel, o sistema confirma a 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com o utente e notifica 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6 - Se 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estiver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vel, o sistema apresenta as alternativas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veis para o utente.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7 - Utente confirma a 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e o sistema regista a consulta/exame no sistema.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8 - Utente e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recebem notifica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da 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o.</w:t>
            </w:r>
          </w:p>
        </w:tc>
      </w:tr>
      <w:tr>
        <w:tblPrEx>
          <w:shd w:val="clear" w:color="auto" w:fill="auto"/>
        </w:tblPrEx>
        <w:trPr>
          <w:trHeight w:val="144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Fluxo Alternativo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1 - No passo 5, se 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dico/enfermeiro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estiver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vel, o sistema apresenta as alternativas dispon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veis para o utente. Se o utente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 estiver satisfeito com as alternativas apresentadas, o processo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cancelado.</w:t>
            </w: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2 - No passo 7, se o utente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confirmar a marca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o, o processo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cancelado.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293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56c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Casos de uso relacionados</w:t>
            </w:r>
          </w:p>
        </w:tc>
        <w:tc>
          <w:tcPr>
            <w:tcW w:type="dxa" w:w="669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Consultar hor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rios de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dicos e enfermeiros</w:t>
            </w:r>
          </w:p>
          <w:p>
            <w:pPr>
              <w:pStyle w:val="Estilo da tabela 2"/>
              <w:bidi w:val="0"/>
            </w:pP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Cancelar consulta ou exame</w:t>
            </w:r>
          </w:p>
          <w:p>
            <w:pPr>
              <w:pStyle w:val="Estilo da tabela 2"/>
              <w:bidi w:val="0"/>
            </w:pP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Registar resultados de exames</w:t>
            </w:r>
          </w:p>
          <w:p>
            <w:pPr>
              <w:pStyle w:val="Estilo da tabela 2"/>
              <w:bidi w:val="0"/>
            </w:pPr>
          </w:p>
          <w:p>
            <w:pPr>
              <w:pStyle w:val="Estilo da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 consultas e exames marcados</w:t>
            </w:r>
          </w:p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a tabela 2">
    <w:name w:val="Estilo da tabela 2"/>
    <w:next w:val="Estilo da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