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AVERRA</w:t>
      </w:r>
      <w:r>
        <w:t xml:space="preserve"> </w:t>
      </w:r>
      <w:r>
        <w:t xml:space="preserve">Practical</w:t>
      </w:r>
      <w:r>
        <w:t xml:space="preserve"> </w:t>
      </w:r>
      <w:r>
        <w:t xml:space="preserve">Portfolio</w:t>
      </w:r>
    </w:p>
    <w:p>
      <w:pPr>
        <w:pStyle w:val="FirstParagraph"/>
      </w:pPr>
      <w:r>
        <w:t xml:space="preserve">AVERRA — Biomedical Technology</w:t>
      </w:r>
    </w:p>
    <w:bookmarkStart w:id="20" w:name="practical-portfolio"/>
    <w:p>
      <w:pPr>
        <w:pStyle w:val="Heading1"/>
      </w:pPr>
      <w:r>
        <w:t xml:space="preserve">Practical Portfolio</w:t>
      </w:r>
    </w:p>
    <w:p>
      <w:pPr>
        <w:pStyle w:val="FirstParagraph"/>
      </w:pPr>
      <w:r>
        <w:t xml:space="preserve">Engineering better movement intelligence.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Course</w:t>
            </w:r>
          </w:p>
        </w:tc>
        <w:tc>
          <w:tcPr/>
          <w:p>
            <w:pPr>
              <w:pStyle w:val="Compact"/>
              <w:jc w:val="left"/>
            </w:pPr>
            <w:r>
              <w:t xml:space="preserve">Entrepreneurship for Engineers (SEC-ENT-301), VJTI Mumbai</w:t>
            </w:r>
          </w:p>
        </w:tc>
      </w:tr>
      <w:tr>
        <w:tc>
          <w:tcPr/>
          <w:p>
            <w:pPr>
              <w:pStyle w:val="Compact"/>
              <w:jc w:val="left"/>
            </w:pPr>
            <w:r>
              <w:t xml:space="preserve">Faculty</w:t>
            </w:r>
          </w:p>
        </w:tc>
        <w:tc>
          <w:tcPr/>
          <w:p>
            <w:pPr>
              <w:pStyle w:val="Compact"/>
              <w:jc w:val="left"/>
            </w:pPr>
            <w:r>
              <w:t xml:space="preserve">Krupali Prakashkumar Nakar</w:t>
            </w:r>
          </w:p>
        </w:tc>
      </w:tr>
      <w:tr>
        <w:tc>
          <w:tcPr/>
          <w:p>
            <w:pPr>
              <w:pStyle w:val="Compact"/>
              <w:jc w:val="left"/>
            </w:pPr>
            <w:r>
              <w:t xml:space="preserve">Founders</w:t>
            </w:r>
          </w:p>
        </w:tc>
        <w:tc>
          <w:tcPr/>
          <w:p>
            <w:pPr>
              <w:pStyle w:val="Compact"/>
              <w:jc w:val="left"/>
            </w:pPr>
            <w:r>
              <w:t xml:space="preserve">Pranshu Kumar · Pawan Shinde</w:t>
            </w:r>
          </w:p>
        </w:tc>
      </w:tr>
      <w:tr>
        <w:tc>
          <w:tcPr/>
          <w:p>
            <w:pPr>
              <w:pStyle w:val="Compact"/>
              <w:jc w:val="left"/>
            </w:pPr>
            <w:r>
              <w:t xml:space="preserve">Products</w:t>
            </w:r>
          </w:p>
        </w:tc>
        <w:tc>
          <w:tcPr/>
          <w:p>
            <w:pPr>
              <w:pStyle w:val="Compact"/>
              <w:jc w:val="left"/>
            </w:pPr>
            <w:r>
              <w:t xml:space="preserve">ParkinSense (wearable wellness and movement intelligence) · TremoSense (assistive active-stabilisation spoon)</w:t>
            </w:r>
          </w:p>
        </w:tc>
      </w:tr>
      <w:tr>
        <w:tc>
          <w:tcPr/>
          <w:p>
            <w:pPr>
              <w:pStyle w:val="Compact"/>
              <w:jc w:val="left"/>
            </w:pPr>
            <w:r>
              <w:t xml:space="preserve">Contents</w:t>
            </w:r>
          </w:p>
        </w:tc>
        <w:tc>
          <w:tcPr/>
          <w:p>
            <w:pPr>
              <w:pStyle w:val="Compact"/>
              <w:jc w:val="left"/>
            </w:pPr>
            <w:r>
              <w:t xml:space="preserve">15 mandatory models (M1.1–M5.3), references, evidence appendix, checklists</w:t>
            </w:r>
          </w:p>
        </w:tc>
      </w:tr>
      <w:tr>
        <w:tc>
          <w:tcPr/>
          <w:p>
            <w:pPr>
              <w:pStyle w:val="Compact"/>
              <w:jc w:val="left"/>
            </w:pPr>
            <w:r>
              <w:t xml:space="preserve">Submission date</w:t>
            </w:r>
          </w:p>
        </w:tc>
        <w:tc>
          <w:tcPr/>
          <w:p>
            <w:pPr>
              <w:pStyle w:val="Compact"/>
              <w:jc w:val="left"/>
            </w:pPr>
            <w:r>
              <w:t xml:space="preserve">____ / ____ / 2026</w:t>
            </w:r>
          </w:p>
        </w:tc>
      </w:tr>
    </w:tbl>
    <w:p>
      <w:pPr>
        <w:pStyle w:val="BodyText"/>
      </w:pPr>
      <w:r>
        <w:t xml:space="preserve">This portfolio separates completed evidence from planned work. Pages marked</w:t>
      </w:r>
      <w:r>
        <w:t xml:space="preserve"> </w:t>
      </w:r>
      <w:r>
        <w:rPr>
          <w:iCs/>
          <w:i/>
        </w:rPr>
        <w:t xml:space="preserve">Awaiting real-world evidence</w:t>
      </w:r>
      <w:r>
        <w:t xml:space="preserve"> </w:t>
      </w:r>
      <w:r>
        <w:t xml:space="preserve">or</w:t>
      </w:r>
      <w:r>
        <w:t xml:space="preserve"> </w:t>
      </w:r>
      <w:r>
        <w:rPr>
          <w:iCs/>
          <w:i/>
        </w:rPr>
        <w:t xml:space="preserve">Planned</w:t>
      </w:r>
      <w:r>
        <w:t xml:space="preserve"> </w:t>
      </w:r>
      <w:r>
        <w:t xml:space="preserve">are honest placeholders, not completed activities.</w:t>
      </w:r>
    </w:p>
    <w:bookmarkEnd w:id="20"/>
    <w:bookmarkStart w:id="22" w:name="TOC"/>
    <w:bookmarkStart w:id="21" w:name="contents"/>
    <w:p>
      <w:pPr>
        <w:pStyle w:val="Heading1"/>
      </w:pPr>
      <w:r>
        <w:t xml:space="preserve">Contents</w:t>
      </w:r>
    </w:p>
    <w:p>
      <w:pPr>
        <w:pStyle w:val="FirstParagraph"/>
      </w:pPr>
      <w:r>
        <w:t xml:space="preserve">Portfolio order follows the course instructions: Module 1 → 5, then references and checklists.</w:t>
      </w:r>
    </w:p>
    <w:tbl>
      <w:tblPr>
        <w:tblStyle w:val="Table"/>
        <w:tblW w:type="pct" w:w="5000"/>
        <w:tblLook w:firstRow="0" w:lastRow="0" w:firstColumn="0" w:lastColumn="0" w:noHBand="0" w:noVBand="0" w:val="0000"/>
        <w:jc w:val="start"/>
      </w:tblPr>
      <w:tblGrid>
        <w:gridCol w:w="792"/>
        <w:gridCol w:w="6336"/>
        <w:gridCol w:w="792"/>
      </w:tblGrid>
      <w:tr>
        <w:tc>
          <w:tcPr>
            <w:gridSpan w:val="3"/>
          </w:tcPr>
          <w:p>
            <w:pPr>
              <w:pStyle w:val="Compact"/>
              <w:jc w:val="left"/>
            </w:pPr>
            <w:r>
              <w:t xml:space="preserve">Module 1 – Mindset &amp; Opportunity Discovery</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3</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5</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7</w:t>
            </w:r>
          </w:p>
        </w:tc>
      </w:tr>
      <w:tr>
        <w:tc>
          <w:tcPr>
            <w:gridSpan w:val="3"/>
          </w:tcPr>
          <w:p>
            <w:pPr>
              <w:pStyle w:val="Compact"/>
              <w:jc w:val="left"/>
            </w:pPr>
            <w:r>
              <w:t xml:space="preserve">Module 2 – Business Model, MVP &amp; First Sale</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9</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11</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12</w:t>
            </w:r>
          </w:p>
        </w:tc>
      </w:tr>
      <w:tr>
        <w:tc>
          <w:tcPr>
            <w:gridSpan w:val="3"/>
          </w:tcPr>
          <w:p>
            <w:pPr>
              <w:pStyle w:val="Compact"/>
              <w:jc w:val="left"/>
            </w:pPr>
            <w:r>
              <w:t xml:space="preserve">Module 3 – Operations, Finance &amp; Compliance</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13</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15</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17</w:t>
            </w:r>
          </w:p>
        </w:tc>
      </w:tr>
      <w:tr>
        <w:tc>
          <w:tcPr>
            <w:gridSpan w:val="3"/>
          </w:tcPr>
          <w:p>
            <w:pPr>
              <w:pStyle w:val="Compact"/>
              <w:jc w:val="left"/>
            </w:pPr>
            <w:r>
              <w:t xml:space="preserve">Module 4 – Scaling: Team, Growth &amp; Fundraising</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19</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21</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22</w:t>
            </w:r>
          </w:p>
        </w:tc>
      </w:tr>
      <w:tr>
        <w:tc>
          <w:tcPr>
            <w:gridSpan w:val="3"/>
          </w:tcPr>
          <w:p>
            <w:pPr>
              <w:pStyle w:val="Compact"/>
              <w:jc w:val="left"/>
            </w:pPr>
            <w:r>
              <w:t xml:space="preserve">Module 5 – Venture Launch &amp; Sustainable Enterprise</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24</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25</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26</w:t>
            </w:r>
          </w:p>
        </w:tc>
      </w:tr>
      <w:tr>
        <w:tc>
          <w:tcPr/>
          <w:p>
            <w:pPr>
              <w:pStyle w:val="Compact"/>
            </w:pPr>
          </w:p>
        </w:tc>
        <w:tc>
          <w:tcPr/>
          <w:p>
            <w:pPr>
              <w:pStyle w:val="Compact"/>
              <w:jc w:val="left"/>
            </w:pPr>
            <w:r>
              <w:t xml:space="preserve">References</w:t>
            </w:r>
          </w:p>
        </w:tc>
        <w:tc>
          <w:tcPr/>
          <w:p>
            <w:pPr>
              <w:pStyle w:val="Compact"/>
              <w:jc w:val="left"/>
            </w:pPr>
            <w:r>
              <w:t xml:space="preserve">28</w:t>
            </w:r>
          </w:p>
        </w:tc>
      </w:tr>
      <w:tr>
        <w:tc>
          <w:tcPr/>
          <w:p>
            <w:pPr>
              <w:pStyle w:val="Compact"/>
            </w:pPr>
          </w:p>
        </w:tc>
        <w:tc>
          <w:tcPr/>
          <w:p>
            <w:pPr>
              <w:pStyle w:val="Compact"/>
              <w:jc w:val="left"/>
            </w:pPr>
            <w:r>
              <w:t xml:space="preserve">Evidence appendix and pending-evidence checklist</w:t>
            </w:r>
          </w:p>
        </w:tc>
        <w:tc>
          <w:tcPr/>
          <w:p>
            <w:pPr>
              <w:pStyle w:val="Compact"/>
              <w:jc w:val="left"/>
            </w:pPr>
            <w:r>
              <w:t xml:space="preserve">30</w:t>
            </w:r>
          </w:p>
        </w:tc>
      </w:tr>
      <w:tr>
        <w:tc>
          <w:tcPr/>
          <w:p>
            <w:pPr>
              <w:pStyle w:val="Compact"/>
            </w:pPr>
          </w:p>
        </w:tc>
        <w:tc>
          <w:tcPr/>
          <w:p>
            <w:pPr>
              <w:pStyle w:val="Compact"/>
              <w:jc w:val="left"/>
            </w:pPr>
            <w:r>
              <w:t xml:space="preserve">Inconsistencies found in the existing AVERRA files</w:t>
            </w:r>
          </w:p>
        </w:tc>
        <w:tc>
          <w:tcPr/>
          <w:p>
            <w:pPr>
              <w:pStyle w:val="Compact"/>
              <w:jc w:val="left"/>
            </w:pPr>
            <w:r>
              <w:t xml:space="preserve">32</w:t>
            </w:r>
          </w:p>
        </w:tc>
      </w:tr>
      <w:tr>
        <w:tc>
          <w:tcPr/>
          <w:p>
            <w:pPr>
              <w:pStyle w:val="Compact"/>
            </w:pPr>
          </w:p>
        </w:tc>
        <w:tc>
          <w:tcPr/>
          <w:p>
            <w:pPr>
              <w:pStyle w:val="Compact"/>
              <w:jc w:val="left"/>
            </w:pPr>
            <w:r>
              <w:t xml:space="preserve">Final completeness checklist and submission checklist</w:t>
            </w:r>
          </w:p>
        </w:tc>
        <w:tc>
          <w:tcPr/>
          <w:p>
            <w:pPr>
              <w:pStyle w:val="Compact"/>
              <w:jc w:val="left"/>
            </w:pPr>
            <w:r>
              <w:t xml:space="preserve">33</w:t>
            </w:r>
          </w:p>
        </w:tc>
      </w:tr>
    </w:tbl>
    <w:bookmarkEnd w:id="21"/>
    <w:bookmarkEnd w:id="22"/>
    <w:bookmarkStart w:id="30" w:name="M1.1"/>
    <w:p>
      <w:pPr>
        <w:pStyle w:val="BodyText"/>
      </w:pPr>
      <w:r>
        <w:t xml:space="preserve">M1 · Activity 1 · Mandatory Model M1.1</w:t>
      </w:r>
    </w:p>
    <w:bookmarkStart w:id="23" w:name="customer-discovery-evidence-pack"/>
    <w:p>
      <w:pPr>
        <w:pStyle w:val="Heading1"/>
      </w:pPr>
      <w:r>
        <w:t xml:space="preserve">Customer-Discovery Evidence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Awaiting real-world evidence</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23"/>
    <w:bookmarkStart w:id="24" w:name="target-customer-and-problem-hypothesis"/>
    <w:p>
      <w:pPr>
        <w:pStyle w:val="Heading2"/>
      </w:pPr>
      <w:r>
        <w:t xml:space="preserve">1. Target customer and problem hypothesis</w:t>
      </w:r>
    </w:p>
    <w:p>
      <w:pPr>
        <w:pStyle w:val="FirstParagraph"/>
      </w:pPr>
      <w:r>
        <w:rPr>
          <w:bCs/>
          <w:b/>
        </w:rPr>
        <w:t xml:space="preserve">TremoSense:</w:t>
      </w:r>
      <w:r>
        <w:t xml:space="preserve"> </w:t>
      </w:r>
      <w:r>
        <w:t xml:space="preserve">Adults in urban India living with Parkinson's disease or essential tremor whose hand tremor makes eating difficult, and the family members who help them at meals, regularly lose independence and dignity at mealtimes and currently rely on help from others, adapted cutlery or avoiding certain foods.</w:t>
      </w:r>
    </w:p>
    <w:p>
      <w:pPr>
        <w:pStyle w:val="BodyText"/>
      </w:pPr>
      <w:r>
        <w:rPr>
          <w:bCs/>
          <w:b/>
        </w:rPr>
        <w:t xml:space="preserve">ParkinSense:</w:t>
      </w:r>
      <w:r>
        <w:t xml:space="preserve"> </w:t>
      </w:r>
      <w:r>
        <w:t xml:space="preserve">Wearable users, including people living with tremor and their families, want continuous insight into how they move between clinic visits, but today their movement is only observed for a few minutes during a consultation.</w:t>
      </w:r>
    </w:p>
    <w:bookmarkEnd w:id="24"/>
    <w:bookmarkStart w:id="25" w:name="X6dfa8dfad496bdd02560cdade169af4ae036fad"/>
    <w:p>
      <w:pPr>
        <w:pStyle w:val="Heading2"/>
      </w:pPr>
      <w:r>
        <w:t xml:space="preserve">2. Mom Test interview questions (past behaviour only)</w:t>
      </w:r>
    </w:p>
    <w:p>
      <w:pPr>
        <w:numPr>
          <w:ilvl w:val="0"/>
          <w:numId w:val="1001"/>
        </w:numPr>
        <w:pStyle w:val="Compact"/>
      </w:pPr>
      <w:r>
        <w:t xml:space="preserve">Tell me about the last meal where your (or your family member's) tremor made eating harder. What happened?</w:t>
      </w:r>
    </w:p>
    <w:p>
      <w:pPr>
        <w:numPr>
          <w:ilvl w:val="0"/>
          <w:numId w:val="1001"/>
        </w:numPr>
        <w:pStyle w:val="Compact"/>
      </w:pPr>
      <w:r>
        <w:t xml:space="preserve">What did you do about it at that meal? What do you usually do?</w:t>
      </w:r>
    </w:p>
    <w:p>
      <w:pPr>
        <w:numPr>
          <w:ilvl w:val="0"/>
          <w:numId w:val="1001"/>
        </w:numPr>
        <w:pStyle w:val="Compact"/>
      </w:pPr>
      <w:r>
        <w:t xml:space="preserve">What have you already tried for eating with tremor (spoons, weighted cutlery, help from someone, changing food)? How did that go?</w:t>
      </w:r>
    </w:p>
    <w:p>
      <w:pPr>
        <w:numPr>
          <w:ilvl w:val="0"/>
          <w:numId w:val="1001"/>
        </w:numPr>
        <w:pStyle w:val="Compact"/>
      </w:pPr>
      <w:r>
        <w:t xml:space="preserve">Have you spent money on anything to help with tremor or eating? What was it, roughly how much, and where did you hear about it?</w:t>
      </w:r>
    </w:p>
    <w:p>
      <w:pPr>
        <w:numPr>
          <w:ilvl w:val="0"/>
          <w:numId w:val="1001"/>
        </w:numPr>
        <w:pStyle w:val="Compact"/>
      </w:pPr>
      <w:r>
        <w:t xml:space="preserve">How often in the last week did tremor change what or where you ate?</w:t>
      </w:r>
    </w:p>
    <w:p>
      <w:pPr>
        <w:numPr>
          <w:ilvl w:val="0"/>
          <w:numId w:val="1001"/>
        </w:numPr>
        <w:pStyle w:val="Compact"/>
      </w:pPr>
      <w:r>
        <w:t xml:space="preserve">When did you last discuss tremor with a neurologist or therapist? What did they measure, and what happened next?</w:t>
      </w:r>
    </w:p>
    <w:p>
      <w:pPr>
        <w:numPr>
          <w:ilvl w:val="0"/>
          <w:numId w:val="1001"/>
        </w:numPr>
        <w:pStyle w:val="Compact"/>
      </w:pPr>
      <w:r>
        <w:t xml:space="preserve">Do you currently track symptoms, activity or sleep in any way (watch, app, diary)? Show me the last thing you recorded.</w:t>
      </w:r>
    </w:p>
    <w:p>
      <w:pPr>
        <w:numPr>
          <w:ilvl w:val="0"/>
          <w:numId w:val="1001"/>
        </w:numPr>
        <w:pStyle w:val="Compact"/>
      </w:pPr>
      <w:r>
        <w:t xml:space="preserve">Who else is involved when a decision about buying a health device is made in your home?</w:t>
      </w:r>
    </w:p>
    <w:p>
      <w:pPr>
        <w:pStyle w:val="FirstParagraph"/>
      </w:pPr>
      <w:r>
        <w:t xml:space="preserve">Rules followed: no pitching before the questions, no "would you buy", no leading questions; record exact words; ask for specifics (last time, how often, how much).</w:t>
      </w:r>
    </w:p>
    <w:bookmarkEnd w:id="25"/>
    <w:bookmarkStart w:id="26" w:name="Xb2c9c230fe19ce572d552f487f83b77c5e5cb52"/>
    <w:p>
      <w:pPr>
        <w:pStyle w:val="Heading2"/>
      </w:pPr>
      <w:r>
        <w:t xml:space="preserve">3. Interview evidence log (minimum 5 real interviews)</w:t>
      </w:r>
    </w:p>
    <w:p>
      <w:pPr>
        <w:pStyle w:val="FirstParagraph"/>
      </w:pPr>
      <w:r>
        <w:rPr>
          <w:bCs/>
          <w:b/>
        </w:rPr>
        <w:t xml:space="preserve">Pending evidence.</w:t>
      </w:r>
      <w:r>
        <w:t xml:space="preserve"> </w:t>
      </w:r>
      <w:r>
        <w:t xml:space="preserve">AVERRA has not yet run its own customer interviews. The pitch currently quotes published research (Hadley et al. 2021; Kellner et al. 2017; Kurupath et al. 2020), which is secondary evidence, not interviews. Do not present this activity as complete until at least five real interviews are recorded below.</w:t>
      </w:r>
    </w:p>
    <w:tbl>
      <w:tblPr>
        <w:tblStyle w:val="Table"/>
        <w:tblW w:type="pct" w:w="5000"/>
        <w:tblLook w:firstRow="1" w:lastRow="0" w:firstColumn="0" w:lastColumn="0" w:noHBand="0" w:noVBand="0" w:val="0020"/>
        <w:jc w:val="start"/>
      </w:tblPr>
      <w:tblGrid>
        <w:gridCol w:w="316"/>
        <w:gridCol w:w="792"/>
        <w:gridCol w:w="1742"/>
        <w:gridCol w:w="2851"/>
        <w:gridCol w:w="2217"/>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Respondent type (no names needed; consent recorded)</w:t>
            </w:r>
          </w:p>
        </w:tc>
        <w:tc>
          <w:tcPr/>
          <w:p>
            <w:pPr>
              <w:pStyle w:val="Compact"/>
              <w:jc w:val="left"/>
            </w:pPr>
            <w:r>
              <w:t xml:space="preserve">Exact words (verbatim)</w:t>
            </w:r>
          </w:p>
        </w:tc>
        <w:tc>
          <w:tcPr/>
          <w:p>
            <w:pPr>
              <w:pStyle w:val="Compact"/>
              <w:jc w:val="left"/>
            </w:pPr>
            <w:r>
              <w:t xml:space="preserve">Pain · frequency · workaround · money/time spent</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r>
    </w:tbl>
    <w:bookmarkEnd w:id="26"/>
    <w:bookmarkStart w:id="27" w:name="Xbe01d66a989d8002fb52257a0b0116a2bf91ec3"/>
    <w:p>
      <w:pPr>
        <w:pStyle w:val="Heading2"/>
      </w:pPr>
      <w:r>
        <w:t xml:space="preserve">4. Pattern analysis (complete after interviews)</w:t>
      </w:r>
    </w:p>
    <w:tbl>
      <w:tblPr>
        <w:tblStyle w:val="Table"/>
        <w:tblW w:type="pct" w:w="5000"/>
        <w:tblLook w:firstRow="1" w:lastRow="0" w:firstColumn="0" w:lastColumn="0" w:noHBand="0" w:noVBand="0" w:val="0020"/>
        <w:jc w:val="start"/>
      </w:tblPr>
      <w:tblGrid>
        <w:gridCol w:w="3168"/>
        <w:gridCol w:w="1584"/>
        <w:gridCol w:w="3168"/>
      </w:tblGrid>
      <w:tr>
        <w:trPr>
          <w:tblHeader w:val="true"/>
        </w:trPr>
        <w:tc>
          <w:tcPr/>
          <w:p>
            <w:pPr>
              <w:pStyle w:val="Compact"/>
              <w:jc w:val="left"/>
            </w:pPr>
            <w:r>
              <w:t xml:space="preserve">Signal</w:t>
            </w:r>
          </w:p>
        </w:tc>
        <w:tc>
          <w:tcPr/>
          <w:p>
            <w:pPr>
              <w:pStyle w:val="Compact"/>
              <w:jc w:val="left"/>
            </w:pPr>
            <w:r>
              <w:t xml:space="preserve">Count out of N</w:t>
            </w:r>
          </w:p>
        </w:tc>
        <w:tc>
          <w:tcPr/>
          <w:p>
            <w:pPr>
              <w:pStyle w:val="Compact"/>
              <w:jc w:val="left"/>
            </w:pPr>
            <w:r>
              <w:t xml:space="preserve">Evidence (interview #)</w:t>
            </w:r>
          </w:p>
        </w:tc>
      </w:tr>
      <w:tr>
        <w:tc>
          <w:tcPr/>
          <w:p>
            <w:pPr>
              <w:pStyle w:val="Compact"/>
              <w:jc w:val="left"/>
            </w:pPr>
            <w:r>
              <w:t xml:space="preserve">Same pain mentioned</w:t>
            </w:r>
          </w:p>
        </w:tc>
        <w:tc>
          <w:tcPr/>
          <w:p>
            <w:pPr>
              <w:pStyle w:val="Compact"/>
            </w:pPr>
          </w:p>
        </w:tc>
        <w:tc>
          <w:tcPr/>
          <w:p>
            <w:pPr>
              <w:pStyle w:val="Compact"/>
            </w:pPr>
          </w:p>
        </w:tc>
      </w:tr>
      <w:tr>
        <w:tc>
          <w:tcPr/>
          <w:p>
            <w:pPr>
              <w:pStyle w:val="Compact"/>
              <w:jc w:val="left"/>
            </w:pPr>
            <w:r>
              <w:t xml:space="preserve">Weekly or more frequent</w:t>
            </w:r>
          </w:p>
        </w:tc>
        <w:tc>
          <w:tcPr/>
          <w:p>
            <w:pPr>
              <w:pStyle w:val="Compact"/>
            </w:pPr>
          </w:p>
        </w:tc>
        <w:tc>
          <w:tcPr/>
          <w:p>
            <w:pPr>
              <w:pStyle w:val="Compact"/>
            </w:pPr>
          </w:p>
        </w:tc>
      </w:tr>
      <w:tr>
        <w:tc>
          <w:tcPr/>
          <w:p>
            <w:pPr>
              <w:pStyle w:val="Compact"/>
              <w:jc w:val="left"/>
            </w:pPr>
            <w:r>
              <w:t xml:space="preserve">Has an existing workaround</w:t>
            </w:r>
          </w:p>
        </w:tc>
        <w:tc>
          <w:tcPr/>
          <w:p>
            <w:pPr>
              <w:pStyle w:val="Compact"/>
            </w:pPr>
          </w:p>
        </w:tc>
        <w:tc>
          <w:tcPr/>
          <w:p>
            <w:pPr>
              <w:pStyle w:val="Compact"/>
            </w:pPr>
          </w:p>
        </w:tc>
      </w:tr>
      <w:tr>
        <w:tc>
          <w:tcPr/>
          <w:p>
            <w:pPr>
              <w:pStyle w:val="Compact"/>
              <w:jc w:val="left"/>
            </w:pPr>
            <w:r>
              <w:t xml:space="preserve">Has already paid money/time/reputation</w:t>
            </w:r>
          </w:p>
        </w:tc>
        <w:tc>
          <w:tcPr/>
          <w:p>
            <w:pPr>
              <w:pStyle w:val="Compact"/>
            </w:pPr>
          </w:p>
        </w:tc>
        <w:tc>
          <w:tcPr/>
          <w:p>
            <w:pPr>
              <w:pStyle w:val="Compact"/>
            </w:pPr>
          </w:p>
        </w:tc>
      </w:tr>
      <w:tr>
        <w:tc>
          <w:tcPr/>
          <w:p>
            <w:pPr>
              <w:pStyle w:val="Compact"/>
              <w:jc w:val="left"/>
            </w:pPr>
            <w:r>
              <w:t xml:space="preserve">Clinician measures movement only in clinic</w:t>
            </w:r>
          </w:p>
        </w:tc>
        <w:tc>
          <w:tcPr/>
          <w:p>
            <w:pPr>
              <w:pStyle w:val="Compact"/>
            </w:pPr>
          </w:p>
        </w:tc>
        <w:tc>
          <w:tcPr/>
          <w:p>
            <w:pPr>
              <w:pStyle w:val="Compact"/>
            </w:pPr>
          </w:p>
        </w:tc>
      </w:tr>
    </w:tbl>
    <w:bookmarkEnd w:id="27"/>
    <w:bookmarkStart w:id="28" w:name="X34296eceac6f382b0101205613961ff66145244"/>
    <w:p>
      <w:pPr>
        <w:pStyle w:val="Heading2"/>
      </w:pPr>
      <w:r>
        <w:t xml:space="preserve">5. Secondary evidence already in hand (labelled as published, not interviews)</w:t>
      </w:r>
    </w:p>
    <w:tbl>
      <w:tblPr>
        <w:tblStyle w:val="Table"/>
        <w:tblW w:type="pct" w:w="5000"/>
        <w:tblLook w:firstRow="1" w:lastRow="0" w:firstColumn="0" w:lastColumn="0" w:noHBand="0" w:noVBand="0" w:val="0020"/>
        <w:jc w:val="start"/>
      </w:tblPr>
      <w:tblGrid>
        <w:gridCol w:w="1267"/>
        <w:gridCol w:w="3801"/>
        <w:gridCol w:w="2851"/>
      </w:tblGrid>
      <w:tr>
        <w:trPr>
          <w:tblHeader w:val="true"/>
        </w:trPr>
        <w:tc>
          <w:tcPr/>
          <w:p>
            <w:pPr>
              <w:pStyle w:val="Compact"/>
              <w:jc w:val="left"/>
            </w:pPr>
            <w:r>
              <w:t xml:space="preserve">Who</w:t>
            </w:r>
          </w:p>
        </w:tc>
        <w:tc>
          <w:tcPr/>
          <w:p>
            <w:pPr>
              <w:pStyle w:val="Compact"/>
              <w:jc w:val="left"/>
            </w:pPr>
            <w:r>
              <w:t xml:space="preserve">Published statement</w:t>
            </w:r>
          </w:p>
        </w:tc>
        <w:tc>
          <w:tcPr/>
          <w:p>
            <w:pPr>
              <w:pStyle w:val="Compact"/>
              <w:jc w:val="left"/>
            </w:pPr>
            <w:r>
              <w:t xml:space="preserve">Source</w:t>
            </w:r>
          </w:p>
        </w:tc>
      </w:tr>
      <w:tr>
        <w:tc>
          <w:tcPr/>
          <w:p>
            <w:pPr>
              <w:pStyle w:val="Compact"/>
              <w:jc w:val="left"/>
            </w:pPr>
            <w:r>
              <w:t xml:space="preserve">Clinicians</w:t>
            </w:r>
          </w:p>
        </w:tc>
        <w:tc>
          <w:tcPr/>
          <w:p>
            <w:pPr>
              <w:pStyle w:val="Compact"/>
              <w:jc w:val="left"/>
            </w:pPr>
            <w:r>
              <w:t xml:space="preserve">“Obtaining only a snapshot of symptoms during a single clinical office visit does not provide enough time resolution to determine how to optimize symptomatic benefit.”</w:t>
            </w:r>
          </w:p>
        </w:tc>
        <w:tc>
          <w:tcPr/>
          <w:p>
            <w:pPr>
              <w:pStyle w:val="Compact"/>
              <w:jc w:val="left"/>
            </w:pPr>
            <w:r>
              <w:t xml:space="preserve">Hadley, Riley &amp; Heldman, Digital Biomarkers 2021</w:t>
            </w:r>
            <w:r>
              <w:br/>
            </w:r>
            <w:r>
              <w:t xml:space="preserve">https://karger.com/dib/article/5/3/206/823097/Real-World-Evidence-for-a-Smartwatch-Based</w:t>
            </w:r>
          </w:p>
        </w:tc>
      </w:tr>
      <w:tr>
        <w:tc>
          <w:tcPr/>
          <w:p>
            <w:pPr>
              <w:pStyle w:val="Compact"/>
              <w:jc w:val="left"/>
            </w:pPr>
            <w:r>
              <w:t xml:space="preserve">People with tremor</w:t>
            </w:r>
          </w:p>
        </w:tc>
        <w:tc>
          <w:tcPr/>
          <w:p>
            <w:pPr>
              <w:pStyle w:val="Compact"/>
              <w:jc w:val="left"/>
            </w:pPr>
            <w:r>
              <w:t xml:space="preserve">“I am embarrassed by my tremor when I try to eat or drink in public.”</w:t>
            </w:r>
          </w:p>
        </w:tc>
        <w:tc>
          <w:tcPr/>
          <w:p>
            <w:pPr>
              <w:pStyle w:val="Compact"/>
              <w:jc w:val="left"/>
            </w:pPr>
            <w:r>
              <w:t xml:space="preserve">Most-endorsed item among people with essential tremor; 63.2% found their tremor embarrassing. Kellner et al., J Neurol Sci 2017</w:t>
            </w:r>
            <w:r>
              <w:br/>
            </w:r>
            <w:r>
              <w:t xml:space="preserve">https://pmc.ncbi.nlm.nih.gov/articles/PMC5739080</w:t>
            </w:r>
          </w:p>
        </w:tc>
      </w:tr>
      <w:tr>
        <w:tc>
          <w:tcPr/>
          <w:p>
            <w:pPr>
              <w:pStyle w:val="Compact"/>
              <w:jc w:val="left"/>
            </w:pPr>
            <w:r>
              <w:t xml:space="preserve">Caregivers (India)</w:t>
            </w:r>
          </w:p>
        </w:tc>
        <w:tc>
          <w:tcPr/>
          <w:p>
            <w:pPr>
              <w:pStyle w:val="Compact"/>
              <w:jc w:val="left"/>
            </w:pPr>
            <w:r>
              <w:t xml:space="preserve">“Out of 100 caregivers, 73 reported to have "severe" caregiver burden.”</w:t>
            </w:r>
          </w:p>
        </w:tc>
        <w:tc>
          <w:tcPr/>
          <w:p>
            <w:pPr>
              <w:pStyle w:val="Compact"/>
              <w:jc w:val="left"/>
            </w:pPr>
            <w:r>
              <w:t xml:space="preserve">Parkinson's caregivers, Southern India. Kurupath, Arathil &amp; Bansal, JCDR 2020</w:t>
            </w:r>
            <w:r>
              <w:br/>
            </w:r>
            <w:r>
              <w:t xml:space="preserve">https://jcdr.net/ReadXMLFile.aspx?id=14384</w:t>
            </w:r>
          </w:p>
        </w:tc>
      </w:tr>
    </w:tbl>
    <w:bookmarkEnd w:id="28"/>
    <w:bookmarkStart w:id="29" w:name="continue-kill-decision"/>
    <w:p>
      <w:pPr>
        <w:pStyle w:val="Heading2"/>
      </w:pPr>
      <w:r>
        <w:t xml:space="preserve">6. Continue / kill decision</w:t>
      </w:r>
    </w:p>
    <w:p>
      <w:pPr>
        <w:pStyle w:val="FirstParagraph"/>
      </w:pPr>
      <w:r>
        <w:rPr>
          <w:bCs/>
          <w:b/>
        </w:rPr>
        <w:t xml:space="preserve">Provisional decision: CONTINUE, conditional.</w:t>
      </w:r>
      <w:r>
        <w:t xml:space="preserve"> </w:t>
      </w:r>
      <w:r>
        <w:t xml:space="preserve">Published studies show a real, repeated pain (embarrassment eating in public; only snapshot measurement in clinic; severe caregiver burden in India), and two people with tremor who tried TremoSense informally reacted positively (founder-reported). This is not yet our own interview evidence.</w:t>
      </w:r>
      <w:r>
        <w:t xml:space="preserve"> </w:t>
      </w:r>
      <w:r>
        <w:rPr>
          <w:bCs/>
          <w:b/>
        </w:rPr>
        <w:t xml:space="preserve">Kill trigger:</w:t>
      </w:r>
      <w:r>
        <w:t xml:space="preserve"> </w:t>
      </w:r>
      <w:r>
        <w:t xml:space="preserve">if fewer than 3 of 5+ interviewees describe tremor disrupting meals at least weekly, or none has spent money or effort on a workaround, we stop TremoSense as a consumer product.</w:t>
      </w:r>
    </w:p>
    <w:p>
      <w:pPr>
        <w:pStyle w:val="BodyText"/>
      </w:pPr>
      <w:r>
        <w:t xml:space="preserve">Final decision line (write after interviews): ________________________________________________</w:t>
      </w:r>
    </w:p>
    <w:bookmarkEnd w:id="29"/>
    <w:bookmarkEnd w:id="30"/>
    <w:bookmarkStart w:id="36" w:name="M1.2"/>
    <w:p>
      <w:pPr>
        <w:pStyle w:val="BodyText"/>
      </w:pPr>
      <w:r>
        <w:t xml:space="preserve">M1 · Activity 2 · Mandatory Model M1.2</w:t>
      </w:r>
    </w:p>
    <w:bookmarkStart w:id="31" w:name="opportunity-scorecard-why-now-memo"/>
    <w:p>
      <w:pPr>
        <w:pStyle w:val="Heading1"/>
      </w:pPr>
      <w:r>
        <w:t xml:space="preserve">Opportunity Scorecard &amp; “Why Now?” Memo</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31"/>
    <w:bookmarkStart w:id="32" w:name="Xcfdb552c83be12f8039990952d038c444c4a3a8"/>
    <w:p>
      <w:pPr>
        <w:pStyle w:val="Heading2"/>
      </w:pPr>
      <w:r>
        <w:t xml:space="preserve">1. Bottom-up TAM, SAM and SOM (India, revenue per year)</w:t>
      </w:r>
    </w:p>
    <w:p>
      <w:pPr>
        <w:pStyle w:val="FirstParagraph"/>
      </w:pPr>
      <w:r>
        <w:t xml:space="preserve">All inputs are on the</w:t>
      </w:r>
      <w:r>
        <w:t xml:space="preserve"> </w:t>
      </w:r>
      <w:r>
        <w:rPr>
          <w:iCs/>
          <w:i/>
        </w:rPr>
        <w:t xml:space="preserve">Market</w:t>
      </w:r>
      <w:r>
        <w:t xml:space="preserve"> </w:t>
      </w:r>
      <w:r>
        <w:t xml:space="preserve">and</w:t>
      </w:r>
      <w:r>
        <w:t xml:space="preserve"> </w:t>
      </w:r>
      <w:r>
        <w:rPr>
          <w:iCs/>
          <w:i/>
        </w:rPr>
        <w:t xml:space="preserve">Assumptions</w:t>
      </w:r>
      <w:r>
        <w:t xml:space="preserve"> </w:t>
      </w:r>
      <w:r>
        <w:t xml:space="preserve">sheets of the financial model. Revenue per customer spreads the device price over a 3-year life, net of GST.</w:t>
      </w:r>
    </w:p>
    <w:tbl>
      <w:tblPr>
        <w:tblStyle w:val="Table"/>
        <w:tblW w:type="pct" w:w="5000"/>
        <w:tblLook w:firstRow="1" w:lastRow="0" w:firstColumn="0" w:lastColumn="0" w:noHBand="0" w:noVBand="0" w:val="0020"/>
        <w:jc w:val="start"/>
      </w:tblPr>
      <w:tblGrid>
        <w:gridCol w:w="1900"/>
        <w:gridCol w:w="3009"/>
        <w:gridCol w:w="3009"/>
      </w:tblGrid>
      <w:tr>
        <w:trPr>
          <w:tblHeader w:val="true"/>
        </w:trPr>
        <w:tc>
          <w:tcPr/>
          <w:p>
            <w:pPr>
              <w:pStyle w:val="Compact"/>
              <w:jc w:val="left"/>
            </w:pPr>
            <w:r>
              <w:t xml:space="preserve">Step</w:t>
            </w:r>
          </w:p>
        </w:tc>
        <w:tc>
          <w:tcPr/>
          <w:p>
            <w:pPr>
              <w:pStyle w:val="Compact"/>
              <w:jc w:val="left"/>
            </w:pPr>
            <w:r>
              <w:t xml:space="preserve">TremoSense</w:t>
            </w:r>
          </w:p>
        </w:tc>
        <w:tc>
          <w:tcPr/>
          <w:p>
            <w:pPr>
              <w:pStyle w:val="Compact"/>
              <w:jc w:val="left"/>
            </w:pPr>
            <w:r>
              <w:t xml:space="preserve">ParkinSense (PD households, beachhead)</w:t>
            </w:r>
          </w:p>
        </w:tc>
      </w:tr>
      <w:tr>
        <w:tc>
          <w:tcPr/>
          <w:p>
            <w:pPr>
              <w:pStyle w:val="Compact"/>
              <w:jc w:val="left"/>
            </w:pPr>
            <w:r>
              <w:t xml:space="preserve">Population base</w:t>
            </w:r>
          </w:p>
        </w:tc>
        <w:tc>
          <w:tcPr/>
          <w:p>
            <w:pPr>
              <w:pStyle w:val="Compact"/>
              <w:jc w:val="left"/>
            </w:pPr>
            <w:r>
              <w:t xml:space="preserve">Indians aged 60+ = 14.9 Cr (UNFPA 2023)</w:t>
            </w:r>
          </w:p>
        </w:tc>
        <w:tc>
          <w:tcPr/>
          <w:p>
            <w:pPr>
              <w:pStyle w:val="Compact"/>
              <w:jc w:val="left"/>
            </w:pPr>
            <w:r>
              <w:t xml:space="preserve">Same base</w:t>
            </w:r>
          </w:p>
        </w:tc>
      </w:tr>
      <w:tr>
        <w:tc>
          <w:tcPr/>
          <w:p>
            <w:pPr>
              <w:pStyle w:val="Compact"/>
              <w:jc w:val="left"/>
            </w:pPr>
            <w:r>
              <w:t xml:space="preserve">Patients</w:t>
            </w:r>
          </w:p>
        </w:tc>
        <w:tc>
          <w:tcPr/>
          <w:p>
            <w:pPr>
              <w:pStyle w:val="Compact"/>
              <w:jc w:val="left"/>
            </w:pPr>
            <w:r>
              <w:t xml:space="preserve">PD 308.9 per lakh aged 60+ → 460,261; ET 89.96 per lakh → 1,276,575</w:t>
            </w:r>
          </w:p>
        </w:tc>
        <w:tc>
          <w:tcPr/>
          <w:p>
            <w:pPr>
              <w:pStyle w:val="Compact"/>
              <w:jc w:val="left"/>
            </w:pPr>
            <w:r>
              <w:t xml:space="preserve">PD aged 60+ = 460,261</w:t>
            </w:r>
          </w:p>
        </w:tc>
      </w:tr>
      <w:tr>
        <w:tc>
          <w:tcPr/>
          <w:p>
            <w:pPr>
              <w:pStyle w:val="Compact"/>
              <w:jc w:val="left"/>
            </w:pPr>
            <w:r>
              <w:t xml:space="preserve">Customers with the need</w:t>
            </w:r>
          </w:p>
        </w:tc>
        <w:tc>
          <w:tcPr/>
          <w:p>
            <w:pPr>
              <w:pStyle w:val="Compact"/>
              <w:jc w:val="left"/>
            </w:pPr>
            <w:r>
              <w:t xml:space="preserve">(PD + ET) × 50% eating-disruptive tremor = 868,418</w:t>
            </w:r>
          </w:p>
        </w:tc>
        <w:tc>
          <w:tcPr/>
          <w:p>
            <w:pPr>
              <w:pStyle w:val="Compact"/>
              <w:jc w:val="left"/>
            </w:pPr>
            <w:r>
              <w:t xml:space="preserve">460,261 households</w:t>
            </w:r>
          </w:p>
        </w:tc>
      </w:tr>
      <w:tr>
        <w:tc>
          <w:tcPr/>
          <w:p>
            <w:pPr>
              <w:pStyle w:val="Compact"/>
              <w:jc w:val="left"/>
            </w:pPr>
            <w:r>
              <w:t xml:space="preserve">₹ per customer per year</w:t>
            </w:r>
          </w:p>
        </w:tc>
        <w:tc>
          <w:tcPr/>
          <w:p>
            <w:pPr>
              <w:pStyle w:val="Compact"/>
              <w:jc w:val="left"/>
            </w:pPr>
            <w:r>
              <w:t xml:space="preserve">₹9,999 ÷ 1.05 GST ÷ 3 yrs = ₹3,174</w:t>
            </w:r>
          </w:p>
        </w:tc>
        <w:tc>
          <w:tcPr/>
          <w:p>
            <w:pPr>
              <w:pStyle w:val="Compact"/>
              <w:jc w:val="left"/>
            </w:pPr>
            <w:r>
              <w:t xml:space="preserve">₹7,999 ÷ 1.18 ÷ 3 + 40% × ₹169 × 12 = ₹3,069</w:t>
            </w:r>
          </w:p>
        </w:tc>
      </w:tr>
      <w:tr>
        <w:tc>
          <w:tcPr/>
          <w:p>
            <w:pPr>
              <w:pStyle w:val="Compact"/>
              <w:jc w:val="left"/>
            </w:pPr>
            <w:r>
              <w:rPr>
                <w:bCs/>
                <w:b/>
              </w:rPr>
              <w:t xml:space="preserve">TAM</w:t>
            </w:r>
          </w:p>
        </w:tc>
        <w:tc>
          <w:tcPr/>
          <w:p>
            <w:pPr>
              <w:pStyle w:val="Compact"/>
              <w:jc w:val="left"/>
            </w:pPr>
            <w:r>
              <w:rPr>
                <w:bCs/>
                <w:b/>
              </w:rPr>
              <w:t xml:space="preserve">868,418 × ₹3,174 = ₹275.66 Cr</w:t>
            </w:r>
          </w:p>
        </w:tc>
        <w:tc>
          <w:tcPr/>
          <w:p>
            <w:pPr>
              <w:pStyle w:val="Compact"/>
              <w:jc w:val="left"/>
            </w:pPr>
            <w:r>
              <w:rPr>
                <w:bCs/>
                <w:b/>
              </w:rPr>
              <w:t xml:space="preserve">460,261 × ₹3,069 = ₹141.26 Cr</w:t>
            </w:r>
          </w:p>
        </w:tc>
      </w:tr>
      <w:tr>
        <w:tc>
          <w:tcPr/>
          <w:p>
            <w:pPr>
              <w:pStyle w:val="Compact"/>
              <w:jc w:val="left"/>
            </w:pPr>
            <w:r>
              <w:rPr>
                <w:bCs/>
                <w:b/>
              </w:rPr>
              <w:t xml:space="preserve">SAM</w:t>
            </w:r>
            <w:r>
              <w:t xml:space="preserve"> </w:t>
            </w:r>
            <w:r>
              <w:t xml:space="preserve">(urban 31.1% × under neurologist care 40%)</w:t>
            </w:r>
          </w:p>
        </w:tc>
        <w:tc>
          <w:tcPr/>
          <w:p>
            <w:pPr>
              <w:pStyle w:val="Compact"/>
              <w:jc w:val="left"/>
            </w:pPr>
            <w:r>
              <w:rPr>
                <w:bCs/>
                <w:b/>
              </w:rPr>
              <w:t xml:space="preserve">108,031 people = ₹34.29 Cr</w:t>
            </w:r>
          </w:p>
        </w:tc>
        <w:tc>
          <w:tcPr/>
          <w:p>
            <w:pPr>
              <w:pStyle w:val="Compact"/>
              <w:jc w:val="left"/>
            </w:pPr>
            <w:r>
              <w:rPr>
                <w:bCs/>
                <w:b/>
              </w:rPr>
              <w:t xml:space="preserve">57,256 = ₹17.57 Cr</w:t>
            </w:r>
          </w:p>
        </w:tc>
      </w:tr>
      <w:tr>
        <w:tc>
          <w:tcPr/>
          <w:p>
            <w:pPr>
              <w:pStyle w:val="Compact"/>
              <w:jc w:val="left"/>
            </w:pPr>
            <w:r>
              <w:rPr>
                <w:bCs/>
                <w:b/>
              </w:rPr>
              <w:t xml:space="preserve">SOM</w:t>
            </w:r>
            <w:r>
              <w:t xml:space="preserve"> </w:t>
            </w:r>
            <w:r>
              <w:t xml:space="preserve">(Year 3, what our channels can reach)</w:t>
            </w:r>
          </w:p>
        </w:tc>
        <w:tc>
          <w:tcPr/>
          <w:p>
            <w:pPr>
              <w:pStyle w:val="Compact"/>
              <w:jc w:val="left"/>
            </w:pPr>
            <w:r>
              <w:rPr>
                <w:bCs/>
                <w:b/>
              </w:rPr>
              <w:t xml:space="preserve">30 clinics × 4/month × 12 + 50 online/month × 12 = 2,040 = ₹64.76 L</w:t>
            </w:r>
            <w:r>
              <w:t xml:space="preserve"> </w:t>
            </w:r>
            <w:r>
              <w:t xml:space="preserve">(1.9% of SAM)</w:t>
            </w:r>
          </w:p>
        </w:tc>
        <w:tc>
          <w:tcPr/>
          <w:p>
            <w:pPr>
              <w:pStyle w:val="Compact"/>
              <w:jc w:val="left"/>
            </w:pPr>
            <w:r>
              <w:rPr>
                <w:bCs/>
                <w:b/>
              </w:rPr>
              <w:t xml:space="preserve">30 clinics × 2/month × 12 + 60 online/month × 12 = 1,440 = ₹44.19 L</w:t>
            </w:r>
            <w:r>
              <w:t xml:space="preserve"> </w:t>
            </w:r>
            <w:r>
              <w:t xml:space="preserve">(2.5% of SAM)</w:t>
            </w:r>
          </w:p>
        </w:tc>
      </w:tr>
    </w:tbl>
    <w:p>
      <w:pPr>
        <w:pStyle w:val="BodyText"/>
      </w:pPr>
      <w:r>
        <w:rPr>
          <w:bCs/>
          <w:b/>
        </w:rPr>
        <w:t xml:space="preserve">Company totals:</w:t>
      </w:r>
      <w:r>
        <w:t xml:space="preserve"> </w:t>
      </w:r>
      <w:r>
        <w:t xml:space="preserve">TAM ₹416.92 Cr · SAM ₹51.86 Cr · Year-3 SOM ₹108.95 L. Customer counts are not summed (one household may buy both).</w:t>
      </w:r>
    </w:p>
    <w:p>
      <w:pPr>
        <w:pStyle w:val="BodyText"/>
      </w:pPr>
      <w:r>
        <w:rPr>
          <w:bCs/>
          <w:b/>
        </w:rPr>
        <w:t xml:space="preserve">Upside, not in plan totals — ParkinSense as a general wearable:</w:t>
      </w:r>
      <w:r>
        <w:t xml:space="preserve"> </w:t>
      </w:r>
      <w:r>
        <w:t xml:space="preserve">IDC India 2024: 3.5 Cr smartwatches × ₹3,069 = ₹10742 Cr TAM; × 2.8% premium share = SAM ₹300.77 Cr; SOM 0.25% / 0.5% / 1% of SAM buyers = ₹75.19 L / ₹1.50 Cr / ₹3.01 Cr.</w:t>
      </w:r>
    </w:p>
    <w:p>
      <w:pPr>
        <w:pStyle w:val="BodyText"/>
      </w:pPr>
      <w:r>
        <w:t xml:space="preserve">Estimates to state openly: 50% eating-disruptive share, 40% under neurologist care, 3-year device life, 40% subscription take-up, clinic and online volumes. ET prevalence comes from a single rural-Gujarat study. Year-3 SOM is a target, not data.</w:t>
      </w:r>
    </w:p>
    <w:bookmarkEnd w:id="32"/>
    <w:bookmarkStart w:id="33" w:name="why-now-memo"/>
    <w:p>
      <w:pPr>
        <w:pStyle w:val="Heading2"/>
      </w:pPr>
      <w:r>
        <w:t xml:space="preserve">2. “Why Now?” memo</w:t>
      </w:r>
    </w:p>
    <w:p>
      <w:pPr>
        <w:pStyle w:val="FirstParagraph"/>
      </w:pPr>
      <w:r>
        <w:rPr>
          <w:bCs/>
          <w:b/>
        </w:rPr>
        <w:t xml:space="preserve">The shift.</w:t>
      </w:r>
      <w:r>
        <w:t xml:space="preserve"> </w:t>
      </w:r>
      <w:r>
        <w:t xml:space="preserve">Movement sensing on the wrist became mainstream and regulator-accepted, and India created a defined approval route for devices like ours. Dated evidence: Apple opened a Movement Disorder API in ResearchKit (June 2018); Rune Labs' Apple Watch Parkinson's monitoring received FDA clearance (June 2022); licensing became mandatory for all medical devices in India from 1 October 2023; UNFPA projects India's 60+ population to rise from 14.9 Cr to 34.7 Cr by 2050 (September 2023); BMJ projects 25.2 million people with Parkinson's worldwide by 2050 (March 2025). Hardware cost collapsed too: the microcontroller with an on-board 6-axis IMU used in both products lists at US$15.90 (Seeed Studio).</w:t>
      </w:r>
    </w:p>
    <w:p>
      <w:pPr>
        <w:pStyle w:val="BodyText"/>
      </w:pPr>
      <w:r>
        <w:rPr>
          <w:bCs/>
          <w:b/>
        </w:rPr>
        <w:t xml:space="preserve">Why it was harder three years ago.</w:t>
      </w:r>
      <w:r>
        <w:t xml:space="preserve"> </w:t>
      </w:r>
      <w:r>
        <w:t xml:space="preserve">Before October 2023 India had no mandatory, clearly defined licensing route for devices like ours, so a product could not be planned and costed end to end, and wrist-based PD monitoring had no regulatory precedent before 2022.</w:t>
      </w:r>
    </w:p>
    <w:p>
      <w:pPr>
        <w:pStyle w:val="BodyText"/>
      </w:pPr>
      <w:r>
        <w:rPr>
          <w:bCs/>
          <w:b/>
        </w:rPr>
        <w:t xml:space="preserve">Why the window will not stay open.</w:t>
      </w:r>
      <w:r>
        <w:t xml:space="preserve"> </w:t>
      </w:r>
      <w:r>
        <w:t xml:space="preserve">Global wearable brands (WHOOP, Garmin, Google, Amazfit) already sense movement; if they add tremor features, or imported active spoons (₹35,980–₹58,480 in India today) become cheaper, the low-cost Indian gap closes.</w:t>
      </w:r>
    </w:p>
    <w:bookmarkEnd w:id="33"/>
    <w:bookmarkStart w:id="34" w:name="Xf79d13da3057ca18a276ac570d698a50b3efc23"/>
    <w:p>
      <w:pPr>
        <w:pStyle w:val="Heading2"/>
      </w:pPr>
      <w:r>
        <w:t xml:space="preserve">3. 90-second pitch (≈150 words; rehearse aloud, no notes)</w:t>
      </w:r>
    </w:p>
    <w:p>
      <w:pPr>
        <w:pStyle w:val="BlockText"/>
      </w:pPr>
      <w:r>
        <w:t xml:space="preserve">About 4.6 lakh Indians over sixty live with Parkinson's, and more have essential tremor. Their movement is measured for a few minutes in a clinic, and at home a 4–12 hertz tremor turns a spoon into a spill. Published studies say a clinic visit is “only a snapshot”, and people with tremor are most embarrassed eating in public. AVERRA builds two products on one sensing stack. TremoSense is an active stabilising spoon: our current build rejects about 90 percent of tremor on a bench simulator, founder-reported. ParkinSense is a ₹7,999 wellness band with tremor detection. Bottom-up, our serviceable market is ₹51.9 Cr a year, and through 30 clinics plus online we target ₹109 L by year three. Next, we run a preregistered user study with at least ten people, and continue only if median tremor reduction reaches 50 percent.</w:t>
      </w:r>
    </w:p>
    <w:p>
      <w:pPr>
        <w:pStyle w:val="FirstParagraph"/>
      </w:pPr>
      <w:r>
        <w:t xml:space="preserve">Word count ≈ 150. Timed delivery: ______ s (fill in after practice).</w:t>
      </w:r>
    </w:p>
    <w:bookmarkEnd w:id="34"/>
    <w:bookmarkStart w:id="35" w:name="X8819636b897feb94b0f021b1b6d4d012ea5cb8f"/>
    <w:p>
      <w:pPr>
        <w:pStyle w:val="Heading2"/>
      </w:pPr>
      <w:r>
        <w:t xml:space="preserve">4. Opportunity scorecard (1 = weak, 5 = strong; every score cites its evidence)</w:t>
      </w:r>
    </w:p>
    <w:tbl>
      <w:tblPr>
        <w:tblStyle w:val="Table"/>
        <w:tblW w:type="pct" w:w="5000"/>
        <w:tblLook w:firstRow="1" w:lastRow="0" w:firstColumn="0" w:lastColumn="0" w:noHBand="0" w:noVBand="0" w:val="0020"/>
        <w:jc w:val="start"/>
      </w:tblPr>
      <w:tblGrid>
        <w:gridCol w:w="2059"/>
        <w:gridCol w:w="792"/>
        <w:gridCol w:w="5068"/>
      </w:tblGrid>
      <w:tr>
        <w:trPr>
          <w:tblHeader w:val="true"/>
        </w:trPr>
        <w:tc>
          <w:tcPr/>
          <w:p>
            <w:pPr>
              <w:pStyle w:val="Compact"/>
              <w:jc w:val="left"/>
            </w:pPr>
            <w:r>
              <w:t xml:space="preserve">Criterion</w:t>
            </w:r>
          </w:p>
        </w:tc>
        <w:tc>
          <w:tcPr/>
          <w:p>
            <w:pPr>
              <w:pStyle w:val="Compact"/>
              <w:jc w:val="left"/>
            </w:pPr>
            <w:r>
              <w:t xml:space="preserve">Score</w:t>
            </w:r>
          </w:p>
        </w:tc>
        <w:tc>
          <w:tcPr/>
          <w:p>
            <w:pPr>
              <w:pStyle w:val="Compact"/>
              <w:jc w:val="left"/>
            </w:pPr>
            <w:r>
              <w:t xml:space="preserve">Evidence behind the score</w:t>
            </w:r>
          </w:p>
        </w:tc>
      </w:tr>
      <w:tr>
        <w:tc>
          <w:tcPr/>
          <w:p>
            <w:pPr>
              <w:pStyle w:val="Compact"/>
              <w:jc w:val="left"/>
            </w:pPr>
            <w:r>
              <w:t xml:space="preserve">Size of the problem</w:t>
            </w:r>
          </w:p>
        </w:tc>
        <w:tc>
          <w:tcPr/>
          <w:p>
            <w:pPr>
              <w:pStyle w:val="Compact"/>
              <w:jc w:val="left"/>
            </w:pPr>
            <w:r>
              <w:t xml:space="preserve">4</w:t>
            </w:r>
          </w:p>
        </w:tc>
        <w:tc>
          <w:tcPr/>
          <w:p>
            <w:pPr>
              <w:pStyle w:val="Compact"/>
              <w:jc w:val="left"/>
            </w:pPr>
            <w:r>
              <w:t xml:space="preserve">Bottom-up TAM ₹416.9 Cr; PD and ET prevalence from published studies (Cureus 2025; Mov Disord 2021)</w:t>
            </w:r>
          </w:p>
        </w:tc>
      </w:tr>
      <w:tr>
        <w:tc>
          <w:tcPr/>
          <w:p>
            <w:pPr>
              <w:pStyle w:val="Compact"/>
              <w:jc w:val="left"/>
            </w:pPr>
            <w:r>
              <w:t xml:space="preserve">Pain intensity</w:t>
            </w:r>
          </w:p>
        </w:tc>
        <w:tc>
          <w:tcPr/>
          <w:p>
            <w:pPr>
              <w:pStyle w:val="Compact"/>
              <w:jc w:val="left"/>
            </w:pPr>
            <w:r>
              <w:t xml:space="preserve">4</w:t>
            </w:r>
          </w:p>
        </w:tc>
        <w:tc>
          <w:tcPr/>
          <w:p>
            <w:pPr>
              <w:pStyle w:val="Compact"/>
              <w:jc w:val="left"/>
            </w:pPr>
            <w:r>
              <w:t xml:space="preserve">Most-endorsed ET item is embarrassment eating in public (Kellner 2017); 73/100 Indian caregivers report severe burden (JCDR 2020)</w:t>
            </w:r>
          </w:p>
        </w:tc>
      </w:tr>
      <w:tr>
        <w:tc>
          <w:tcPr/>
          <w:p>
            <w:pPr>
              <w:pStyle w:val="Compact"/>
              <w:jc w:val="left"/>
            </w:pPr>
            <w:r>
              <w:t xml:space="preserve">Willingness to pay</w:t>
            </w:r>
          </w:p>
        </w:tc>
        <w:tc>
          <w:tcPr/>
          <w:p>
            <w:pPr>
              <w:pStyle w:val="Compact"/>
              <w:jc w:val="left"/>
            </w:pPr>
            <w:r>
              <w:t xml:space="preserve">2</w:t>
            </w:r>
          </w:p>
        </w:tc>
        <w:tc>
          <w:tcPr/>
          <w:p>
            <w:pPr>
              <w:pStyle w:val="Compact"/>
              <w:jc w:val="left"/>
            </w:pPr>
            <w:r>
              <w:t xml:space="preserve">Not yet measured; imported spoons sell at ₹35,980+ and GyroGlove at ≈₹5.6 L, but no AVERRA price test yet</w:t>
            </w:r>
          </w:p>
        </w:tc>
      </w:tr>
      <w:tr>
        <w:tc>
          <w:tcPr/>
          <w:p>
            <w:pPr>
              <w:pStyle w:val="Compact"/>
              <w:jc w:val="left"/>
            </w:pPr>
            <w:r>
              <w:t xml:space="preserve">Timing (why now)</w:t>
            </w:r>
          </w:p>
        </w:tc>
        <w:tc>
          <w:tcPr/>
          <w:p>
            <w:pPr>
              <w:pStyle w:val="Compact"/>
              <w:jc w:val="left"/>
            </w:pPr>
            <w:r>
              <w:t xml:space="preserve">4</w:t>
            </w:r>
          </w:p>
        </w:tc>
        <w:tc>
          <w:tcPr/>
          <w:p>
            <w:pPr>
              <w:pStyle w:val="Compact"/>
              <w:jc w:val="left"/>
            </w:pPr>
            <w:r>
              <w:t xml:space="preserve">Dated regulatory and technology shifts 2018–2023 (memo above)</w:t>
            </w:r>
          </w:p>
        </w:tc>
      </w:tr>
      <w:tr>
        <w:tc>
          <w:tcPr/>
          <w:p>
            <w:pPr>
              <w:pStyle w:val="Compact"/>
              <w:jc w:val="left"/>
            </w:pPr>
            <w:r>
              <w:t xml:space="preserve">Competition / differentiation</w:t>
            </w:r>
          </w:p>
        </w:tc>
        <w:tc>
          <w:tcPr/>
          <w:p>
            <w:pPr>
              <w:pStyle w:val="Compact"/>
              <w:jc w:val="left"/>
            </w:pPr>
            <w:r>
              <w:t xml:space="preserve">3</w:t>
            </w:r>
          </w:p>
        </w:tc>
        <w:tc>
          <w:tcPr/>
          <w:p>
            <w:pPr>
              <w:pStyle w:val="Compact"/>
              <w:jc w:val="left"/>
            </w:pPr>
            <w:r>
              <w:t xml:space="preserve">No screenless band lists tremor detection; active spoons exist but cost 4–6× our planned price</w:t>
            </w:r>
          </w:p>
        </w:tc>
      </w:tr>
      <w:tr>
        <w:tc>
          <w:tcPr/>
          <w:p>
            <w:pPr>
              <w:pStyle w:val="Compact"/>
              <w:jc w:val="left"/>
            </w:pPr>
            <w:r>
              <w:t xml:space="preserve">Team fit</w:t>
            </w:r>
          </w:p>
        </w:tc>
        <w:tc>
          <w:tcPr/>
          <w:p>
            <w:pPr>
              <w:pStyle w:val="Compact"/>
              <w:jc w:val="left"/>
            </w:pPr>
            <w:r>
              <w:t xml:space="preserve">4</w:t>
            </w:r>
          </w:p>
        </w:tc>
        <w:tc>
          <w:tcPr/>
          <w:p>
            <w:pPr>
              <w:pStyle w:val="Compact"/>
              <w:jc w:val="left"/>
            </w:pPr>
            <w:r>
              <w:t xml:space="preserve">Founders built both prototypes; two papers; bench results</w:t>
            </w:r>
          </w:p>
        </w:tc>
      </w:tr>
      <w:tr>
        <w:tc>
          <w:tcPr/>
          <w:p>
            <w:pPr>
              <w:pStyle w:val="Compact"/>
              <w:jc w:val="left"/>
            </w:pPr>
            <w:r>
              <w:t xml:space="preserve">Evidence from own customers</w:t>
            </w:r>
          </w:p>
        </w:tc>
        <w:tc>
          <w:tcPr/>
          <w:p>
            <w:pPr>
              <w:pStyle w:val="Compact"/>
              <w:jc w:val="left"/>
            </w:pPr>
            <w:r>
              <w:t xml:space="preserve">1</w:t>
            </w:r>
          </w:p>
        </w:tc>
        <w:tc>
          <w:tcPr/>
          <w:p>
            <w:pPr>
              <w:pStyle w:val="Compact"/>
              <w:jc w:val="left"/>
            </w:pPr>
            <w:r>
              <w:t xml:space="preserve">Own interviews pending (see M1.1)</w:t>
            </w:r>
          </w:p>
        </w:tc>
      </w:tr>
      <w:tr>
        <w:tc>
          <w:tcPr/>
          <w:p>
            <w:pPr>
              <w:pStyle w:val="Compact"/>
              <w:jc w:val="left"/>
            </w:pPr>
            <w:r>
              <w:rPr>
                <w:bCs/>
                <w:b/>
              </w:rPr>
              <w:t xml:space="preserve">Total</w:t>
            </w:r>
          </w:p>
        </w:tc>
        <w:tc>
          <w:tcPr/>
          <w:p>
            <w:pPr>
              <w:pStyle w:val="Compact"/>
              <w:jc w:val="left"/>
            </w:pPr>
            <w:r>
              <w:rPr>
                <w:bCs/>
                <w:b/>
              </w:rPr>
              <w:t xml:space="preserve">22 / 35</w:t>
            </w:r>
          </w:p>
        </w:tc>
        <w:tc>
          <w:tcPr/>
          <w:p>
            <w:pPr>
              <w:pStyle w:val="Compact"/>
              <w:jc w:val="left"/>
            </w:pPr>
            <w:r>
              <w:t xml:space="preserve">Strong on problem and timing; weakest on own-customer and pricing evidence</w:t>
            </w:r>
          </w:p>
        </w:tc>
      </w:tr>
    </w:tbl>
    <w:bookmarkEnd w:id="35"/>
    <w:bookmarkEnd w:id="36"/>
    <w:bookmarkStart w:id="43" w:name="M1.3"/>
    <w:p>
      <w:pPr>
        <w:pStyle w:val="BodyText"/>
      </w:pPr>
      <w:r>
        <w:t xml:space="preserve">M1 · Activity 3 · Mandatory Model M1.3</w:t>
      </w:r>
    </w:p>
    <w:bookmarkStart w:id="37" w:name="venture-money-model-first-budget-pack"/>
    <w:p>
      <w:pPr>
        <w:pStyle w:val="Heading1"/>
      </w:pPr>
      <w:r>
        <w:t xml:space="preserve">Venture Money-Model &amp; First-Budget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1</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37"/>
    <w:bookmarkStart w:id="38" w:name="the-money-model-on-one-page"/>
    <w:p>
      <w:pPr>
        <w:pStyle w:val="Heading2"/>
      </w:pPr>
      <w:r>
        <w:t xml:space="preserve">1. The money model on one page</w:t>
      </w:r>
    </w:p>
    <w:tbl>
      <w:tblPr>
        <w:tblStyle w:val="Table"/>
        <w:tblW w:type="pct" w:w="5000"/>
        <w:tblLook w:firstRow="1" w:lastRow="0" w:firstColumn="0" w:lastColumn="0" w:noHBand="0" w:noVBand="0" w:val="0020"/>
        <w:jc w:val="start"/>
      </w:tblPr>
      <w:tblGrid>
        <w:gridCol w:w="1584"/>
        <w:gridCol w:w="1425"/>
        <w:gridCol w:w="1584"/>
        <w:gridCol w:w="1108"/>
        <w:gridCol w:w="2217"/>
      </w:tblGrid>
      <w:tr>
        <w:trPr>
          <w:tblHeader w:val="true"/>
        </w:trPr>
        <w:tc>
          <w:tcPr/>
          <w:p>
            <w:pPr>
              <w:pStyle w:val="Compact"/>
              <w:jc w:val="left"/>
            </w:pPr>
            <w:r>
              <w:t xml:space="preserve">What we sell</w:t>
            </w:r>
          </w:p>
        </w:tc>
        <w:tc>
          <w:tcPr/>
          <w:p>
            <w:pPr>
              <w:pStyle w:val="Compact"/>
              <w:jc w:val="left"/>
            </w:pPr>
            <w:r>
              <w:t xml:space="preserve">Who pays</w:t>
            </w:r>
          </w:p>
        </w:tc>
        <w:tc>
          <w:tcPr/>
          <w:p>
            <w:pPr>
              <w:pStyle w:val="Compact"/>
              <w:jc w:val="left"/>
            </w:pPr>
            <w:r>
              <w:t xml:space="preserve">How much</w:t>
            </w:r>
          </w:p>
        </w:tc>
        <w:tc>
          <w:tcPr/>
          <w:p>
            <w:pPr>
              <w:pStyle w:val="Compact"/>
              <w:jc w:val="left"/>
            </w:pPr>
            <w:r>
              <w:t xml:space="preserve">How often</w:t>
            </w:r>
          </w:p>
        </w:tc>
        <w:tc>
          <w:tcPr/>
          <w:p>
            <w:pPr>
              <w:pStyle w:val="Compact"/>
              <w:jc w:val="left"/>
            </w:pPr>
            <w:r>
              <w:t xml:space="preserve">Cost to deliver one unit</w:t>
            </w:r>
          </w:p>
        </w:tc>
      </w:tr>
      <w:tr>
        <w:tc>
          <w:tcPr/>
          <w:p>
            <w:pPr>
              <w:pStyle w:val="Compact"/>
              <w:jc w:val="left"/>
            </w:pPr>
            <w:r>
              <w:t xml:space="preserve">TremoSense active stabilising spoon (sale; rental option)</w:t>
            </w:r>
          </w:p>
        </w:tc>
        <w:tc>
          <w:tcPr/>
          <w:p>
            <w:pPr>
              <w:pStyle w:val="Compact"/>
              <w:jc w:val="left"/>
            </w:pPr>
            <w:r>
              <w:t xml:space="preserve">Family of the person with tremor, referred by a clinic or OT centre</w:t>
            </w:r>
          </w:p>
        </w:tc>
        <w:tc>
          <w:tcPr/>
          <w:p>
            <w:pPr>
              <w:pStyle w:val="Compact"/>
              <w:jc w:val="left"/>
            </w:pPr>
            <w:r>
              <w:t xml:space="preserve">₹9,999 incl. 5% GST (planned); ₹8,999 from M19; rental ₹799/month</w:t>
            </w:r>
          </w:p>
        </w:tc>
        <w:tc>
          <w:tcPr/>
          <w:p>
            <w:pPr>
              <w:pStyle w:val="Compact"/>
              <w:jc w:val="left"/>
            </w:pPr>
            <w:r>
              <w:t xml:space="preserve">Once per ≈3-year device life</w:t>
            </w:r>
          </w:p>
        </w:tc>
        <w:tc>
          <w:tcPr/>
          <w:p>
            <w:pPr>
              <w:pStyle w:val="Compact"/>
              <w:jc w:val="left"/>
            </w:pPr>
            <w:r>
              <w:t xml:space="preserve">₹4,830 small-batch COGS + 15% clinic margin + 5% warranty + ₹250 shipping → contribution ₹2,538</w:t>
            </w:r>
          </w:p>
        </w:tc>
      </w:tr>
      <w:tr>
        <w:tc>
          <w:tcPr/>
          <w:p>
            <w:pPr>
              <w:pStyle w:val="Compact"/>
              <w:jc w:val="left"/>
            </w:pPr>
            <w:r>
              <w:t xml:space="preserve">ParkinSense wellness band + optional insights plan</w:t>
            </w:r>
          </w:p>
        </w:tc>
        <w:tc>
          <w:tcPr/>
          <w:p>
            <w:pPr>
              <w:pStyle w:val="Compact"/>
              <w:jc w:val="left"/>
            </w:pPr>
            <w:r>
              <w:t xml:space="preserve">The user, online</w:t>
            </w:r>
          </w:p>
        </w:tc>
        <w:tc>
          <w:tcPr/>
          <w:p>
            <w:pPr>
              <w:pStyle w:val="Compact"/>
              <w:jc w:val="left"/>
            </w:pPr>
            <w:r>
              <w:t xml:space="preserve">₹7,999 incl. 18% GST + optional ₹199/month</w:t>
            </w:r>
          </w:p>
        </w:tc>
        <w:tc>
          <w:tcPr/>
          <w:p>
            <w:pPr>
              <w:pStyle w:val="Compact"/>
              <w:jc w:val="left"/>
            </w:pPr>
            <w:r>
              <w:t xml:space="preserve">Device once; plan monthly (40% take-up assumed)</w:t>
            </w:r>
          </w:p>
        </w:tc>
        <w:tc>
          <w:tcPr/>
          <w:p>
            <w:pPr>
              <w:pStyle w:val="Compact"/>
              <w:jc w:val="left"/>
            </w:pPr>
            <w:r>
              <w:t xml:space="preserve">₹3,530 COGS + 10% online fees + warranty + shipping → contribution ₹1,982</w:t>
            </w:r>
          </w:p>
        </w:tc>
      </w:tr>
      <w:tr>
        <w:tc>
          <w:tcPr/>
          <w:p>
            <w:pPr>
              <w:pStyle w:val="Compact"/>
              <w:jc w:val="left"/>
            </w:pPr>
            <w:r>
              <w:t xml:space="preserve">Research-use (RUO) kits</w:t>
            </w:r>
          </w:p>
        </w:tc>
        <w:tc>
          <w:tcPr/>
          <w:p>
            <w:pPr>
              <w:pStyle w:val="Compact"/>
              <w:jc w:val="left"/>
            </w:pPr>
            <w:r>
              <w:t xml:space="preserve">University labs</w:t>
            </w:r>
          </w:p>
        </w:tc>
        <w:tc>
          <w:tcPr/>
          <w:p>
            <w:pPr>
              <w:pStyle w:val="Compact"/>
              <w:jc w:val="left"/>
            </w:pPr>
            <w:r>
              <w:t xml:space="preserve">₹74,999 per kit</w:t>
            </w:r>
          </w:p>
        </w:tc>
        <w:tc>
          <w:tcPr/>
          <w:p>
            <w:pPr>
              <w:pStyle w:val="Compact"/>
              <w:jc w:val="left"/>
            </w:pPr>
            <w:r>
              <w:t xml:space="preserve">One-off</w:t>
            </w:r>
          </w:p>
        </w:tc>
        <w:tc>
          <w:tcPr/>
          <w:p>
            <w:pPr>
              <w:pStyle w:val="Compact"/>
              <w:jc w:val="left"/>
            </w:pPr>
            <w:r>
              <w:t xml:space="preserve">₹22,650 → contribution ₹40,658</w:t>
            </w:r>
          </w:p>
        </w:tc>
      </w:tr>
    </w:tbl>
    <w:p>
      <w:pPr>
        <w:pStyle w:val="BodyText"/>
      </w:pPr>
      <w:r>
        <w:rPr>
          <w:bCs/>
          <w:b/>
        </w:rPr>
        <w:t xml:space="preserve">Revenue-model choice, defended:</w:t>
      </w:r>
      <w:r>
        <w:t xml:space="preserve"> </w:t>
      </w:r>
      <w:r>
        <w:t xml:space="preserve">a one-time device sale (with rental for families who cannot pay upfront) fits an assistive product bought once by a family, and keeps every unit profitable from the first sale. A subscription is offered only on ParkinSense, where ongoing insights create ongoing value; it is optional, so it never blocks access.</w:t>
      </w:r>
    </w:p>
    <w:p>
      <w:pPr>
        <w:pStyle w:val="BodyText"/>
      </w:pPr>
      <w:r>
        <w:rPr>
          <w:bCs/>
          <w:b/>
        </w:rPr>
        <w:t xml:space="preserve">Brand positioning (Digital Marketing I):</w:t>
      </w:r>
      <w:r>
        <w:t xml:space="preserve"> </w:t>
      </w:r>
      <w:r>
        <w:t xml:space="preserve">For people who want to understand how they move, and for people whose tremor makes eating hard, AVERRA is a biomedical wearables company that turns precise movement sensing into everyday insight (ParkinSense) and active assistance (TremoSense), at prices built for India.</w:t>
      </w:r>
      <w:r>
        <w:t xml:space="preserve"> </w:t>
      </w:r>
      <w:r>
        <w:rPr>
          <w:bCs/>
          <w:b/>
        </w:rPr>
        <w:t xml:space="preserve">Organic channels:</w:t>
      </w:r>
      <w:r>
        <w:t xml:space="preserve"> </w:t>
      </w:r>
      <w:r>
        <w:t xml:space="preserve">neurologist and OT referrals, Parkinson's and ET support groups, LinkedIn and YouTube demo videos of the bench rig, the AVERRA website.</w:t>
      </w:r>
    </w:p>
    <w:bookmarkEnd w:id="38"/>
    <w:bookmarkStart w:id="41" w:name="X4f41a79598c0e4f84e3b9a7a5679cadaf3172d4"/>
    <w:p>
      <w:pPr>
        <w:pStyle w:val="Heading2"/>
      </w:pPr>
      <w:r>
        <w:t xml:space="preserve">2. First three months (M1–M3, Jul–Sep 2027), zero-based from the financial model</w:t>
      </w:r>
    </w:p>
    <w:p>
      <w:pPr>
        <w:pStyle w:val="FirstParagraph"/>
      </w:pPr>
      <w:r>
        <w:t xml:space="preserve">Each line is justified from zero (what it buys), not copied forward. Source: Forecast sheet, rows for M1–M3.</w:t>
      </w:r>
    </w:p>
    <w:bookmarkStart w:id="39" w:name="one-time-costs"/>
    <w:p>
      <w:pPr>
        <w:pStyle w:val="Heading3"/>
      </w:pPr>
      <w:r>
        <w:t xml:space="preserve">One-time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Industrial design contractor</w:t>
            </w:r>
          </w:p>
        </w:tc>
        <w:tc>
          <w:tcPr/>
          <w:p>
            <w:pPr>
              <w:pStyle w:val="Compact"/>
              <w:jc w:val="left"/>
            </w:pPr>
            <w:r>
              <w:t xml:space="preserve">₹45,000</w:t>
            </w:r>
          </w:p>
        </w:tc>
        <w:tc>
          <w:tcPr/>
          <w:p>
            <w:pPr>
              <w:pStyle w:val="Compact"/>
              <w:jc w:val="left"/>
            </w:pPr>
            <w:r>
              <w:t xml:space="preserve">₹45,000</w:t>
            </w:r>
          </w:p>
        </w:tc>
        <w:tc>
          <w:tcPr/>
          <w:p>
            <w:pPr>
              <w:pStyle w:val="Compact"/>
              <w:jc w:val="left"/>
            </w:pPr>
            <w:r>
              <w:t xml:space="preserve">₹0</w:t>
            </w:r>
          </w:p>
        </w:tc>
        <w:tc>
          <w:tcPr/>
          <w:p>
            <w:pPr>
              <w:pStyle w:val="Compact"/>
              <w:jc w:val="left"/>
            </w:pPr>
            <w:r>
              <w:t xml:space="preserve">₹90,000</w:t>
            </w:r>
          </w:p>
        </w:tc>
      </w:tr>
      <w:tr>
        <w:tc>
          <w:tcPr/>
          <w:p>
            <w:pPr>
              <w:pStyle w:val="Compact"/>
              <w:jc w:val="left"/>
            </w:pPr>
            <w:r>
              <w:t xml:space="preserve">Legal, accounting, admin</w:t>
            </w:r>
          </w:p>
        </w:tc>
        <w:tc>
          <w:tcPr/>
          <w:p>
            <w:pPr>
              <w:pStyle w:val="Compact"/>
              <w:jc w:val="left"/>
            </w:pPr>
            <w:r>
              <w:t xml:space="preserve">₹25,000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₹49,000</w:t>
            </w:r>
          </w:p>
        </w:tc>
      </w:tr>
      <w:tr>
        <w:tc>
          <w:tcPr/>
          <w:p>
            <w:pPr>
              <w:pStyle w:val="Compact"/>
              <w:jc w:val="left"/>
            </w:pPr>
            <w:r>
              <w:t xml:space="preserve">Patent: attorney + filing fees</w:t>
            </w:r>
          </w:p>
        </w:tc>
        <w:tc>
          <w:tcPr/>
          <w:p>
            <w:pPr>
              <w:pStyle w:val="Compact"/>
              <w:jc w:val="left"/>
            </w:pPr>
            <w:r>
              <w:t xml:space="preserve">₹0</w:t>
            </w:r>
          </w:p>
        </w:tc>
        <w:tc>
          <w:tcPr/>
          <w:p>
            <w:pPr>
              <w:pStyle w:val="Compact"/>
              <w:jc w:val="left"/>
            </w:pPr>
            <w:r>
              <w:t xml:space="preserve">₹55,000</w:t>
            </w:r>
          </w:p>
        </w:tc>
        <w:tc>
          <w:tcPr/>
          <w:p>
            <w:pPr>
              <w:pStyle w:val="Compact"/>
              <w:jc w:val="left"/>
            </w:pPr>
            <w:r>
              <w:t xml:space="preserve">₹0</w:t>
            </w:r>
          </w:p>
        </w:tc>
        <w:tc>
          <w:tcPr/>
          <w:p>
            <w:pPr>
              <w:pStyle w:val="Compact"/>
              <w:jc w:val="left"/>
            </w:pPr>
            <w:r>
              <w:t xml:space="preserve">₹55,000</w:t>
            </w:r>
          </w:p>
        </w:tc>
      </w:tr>
      <w:tr>
        <w:tc>
          <w:tcPr/>
          <w:p>
            <w:pPr>
              <w:pStyle w:val="Compact"/>
              <w:jc w:val="left"/>
            </w:pPr>
            <w:r>
              <w:t xml:space="preserve">TremoSense study units (12 × Scenario A cost)</w:t>
            </w:r>
          </w:p>
        </w:tc>
        <w:tc>
          <w:tcPr/>
          <w:p>
            <w:pPr>
              <w:pStyle w:val="Compact"/>
              <w:jc w:val="left"/>
            </w:pPr>
            <w:r>
              <w:t xml:space="preserve">₹0</w:t>
            </w:r>
          </w:p>
        </w:tc>
        <w:tc>
          <w:tcPr/>
          <w:p>
            <w:pPr>
              <w:pStyle w:val="Compact"/>
              <w:jc w:val="left"/>
            </w:pPr>
            <w:r>
              <w:t xml:space="preserve">₹0</w:t>
            </w:r>
          </w:p>
        </w:tc>
        <w:tc>
          <w:tcPr/>
          <w:p>
            <w:pPr>
              <w:pStyle w:val="Compact"/>
              <w:jc w:val="left"/>
            </w:pPr>
            <w:r>
              <w:t xml:space="preserve">₹58,341</w:t>
            </w:r>
          </w:p>
        </w:tc>
        <w:tc>
          <w:tcPr/>
          <w:p>
            <w:pPr>
              <w:pStyle w:val="Compact"/>
              <w:jc w:val="left"/>
            </w:pPr>
            <w:r>
              <w:t xml:space="preserve">₹58,341</w:t>
            </w:r>
          </w:p>
        </w:tc>
      </w:tr>
    </w:tbl>
    <w:bookmarkEnd w:id="39"/>
    <w:bookmarkStart w:id="40" w:name="monthly-recurring-costs"/>
    <w:p>
      <w:pPr>
        <w:pStyle w:val="Heading3"/>
      </w:pPr>
      <w:r>
        <w:t xml:space="preserve">Monthly recurring costs</w:t>
      </w:r>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jc w:val="left"/>
            </w:pPr>
            <w:r>
              <w:t xml:space="preserve">Line</w:t>
            </w: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Founder stipends (2×₹15k Phase 1 · 2×₹30k M7–24 · 2×₹45k Y3)</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₹90,000</w:t>
            </w:r>
          </w:p>
        </w:tc>
      </w:tr>
      <w:tr>
        <w:tc>
          <w:tcPr/>
          <w:p>
            <w:pPr>
              <w:pStyle w:val="Compact"/>
              <w:jc w:val="left"/>
            </w:pPr>
            <w:r>
              <w:t xml:space="preserve">Prototyping materials</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₹75,000</w:t>
            </w:r>
          </w:p>
        </w:tc>
      </w:tr>
      <w:tr>
        <w:tc>
          <w:tcPr/>
          <w:p>
            <w:pPr>
              <w:pStyle w:val="Compact"/>
              <w:jc w:val="left"/>
            </w:pPr>
            <w:r>
              <w:t xml:space="preserve">Tools, cloud, software</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₹24,000</w:t>
            </w:r>
          </w:p>
        </w:tc>
      </w:tr>
    </w:tbl>
    <w:p/>
    <w:tbl>
      <w:tblPr>
        <w:tblStyle w:val="Table"/>
        <w:tblW w:type="pct" w:w="5000"/>
        <w:tblLook w:firstRow="1" w:lastRow="0" w:firstColumn="0" w:lastColumn="0" w:noHBand="0" w:noVBand="0" w:val="0020"/>
        <w:jc w:val="start"/>
      </w:tblPr>
      <w:tblGrid>
        <w:gridCol w:w="3484"/>
        <w:gridCol w:w="1108"/>
        <w:gridCol w:w="1108"/>
        <w:gridCol w:w="1108"/>
        <w:gridCol w:w="1108"/>
      </w:tblGrid>
      <w:tr>
        <w:trPr>
          <w:tblHeader w:val="true"/>
        </w:trPr>
        <w:tc>
          <w:tcPr/>
          <w:p>
            <w:pPr>
              <w:pStyle w:val="Compact"/>
            </w:pPr>
          </w:p>
        </w:tc>
        <w:tc>
          <w:tcPr/>
          <w:p>
            <w:pPr>
              <w:pStyle w:val="Compact"/>
              <w:jc w:val="left"/>
            </w:pPr>
            <w:r>
              <w:t xml:space="preserve">M1</w:t>
            </w:r>
          </w:p>
        </w:tc>
        <w:tc>
          <w:tcPr/>
          <w:p>
            <w:pPr>
              <w:pStyle w:val="Compact"/>
              <w:jc w:val="left"/>
            </w:pPr>
            <w:r>
              <w:t xml:space="preserve">M2</w:t>
            </w:r>
          </w:p>
        </w:tc>
        <w:tc>
          <w:tcPr/>
          <w:p>
            <w:pPr>
              <w:pStyle w:val="Compact"/>
              <w:jc w:val="left"/>
            </w:pPr>
            <w:r>
              <w:t xml:space="preserve">M3</w:t>
            </w:r>
          </w:p>
        </w:tc>
        <w:tc>
          <w:tcPr/>
          <w:p>
            <w:pPr>
              <w:pStyle w:val="Compact"/>
              <w:jc w:val="left"/>
            </w:pPr>
            <w:r>
              <w:t xml:space="preserve">3-month total</w:t>
            </w:r>
          </w:p>
        </w:tc>
      </w:tr>
      <w:tr>
        <w:tc>
          <w:tcPr/>
          <w:p>
            <w:pPr>
              <w:pStyle w:val="Compact"/>
              <w:jc w:val="left"/>
            </w:pPr>
            <w:r>
              <w:t xml:space="preserve">Subtotal</w:t>
            </w:r>
          </w:p>
        </w:tc>
        <w:tc>
          <w:tcPr/>
          <w:p>
            <w:pPr>
              <w:pStyle w:val="Compact"/>
              <w:jc w:val="left"/>
            </w:pPr>
            <w:r>
              <w:t xml:space="preserve">₹1,33,000</w:t>
            </w:r>
          </w:p>
        </w:tc>
        <w:tc>
          <w:tcPr/>
          <w:p>
            <w:pPr>
              <w:pStyle w:val="Compact"/>
              <w:jc w:val="left"/>
            </w:pPr>
            <w:r>
              <w:t xml:space="preserve">₹1,75,000</w:t>
            </w:r>
          </w:p>
        </w:tc>
        <w:tc>
          <w:tcPr/>
          <w:p>
            <w:pPr>
              <w:pStyle w:val="Compact"/>
              <w:jc w:val="left"/>
            </w:pPr>
            <w:r>
              <w:t xml:space="preserve">₹1,33,341</w:t>
            </w:r>
          </w:p>
        </w:tc>
        <w:tc>
          <w:tcPr/>
          <w:p>
            <w:pPr>
              <w:pStyle w:val="Compact"/>
              <w:jc w:val="left"/>
            </w:pPr>
            <w:r>
              <w:t xml:space="preserve">₹4,41,341</w:t>
            </w:r>
          </w:p>
        </w:tc>
      </w:tr>
      <w:tr>
        <w:tc>
          <w:tcPr/>
          <w:p>
            <w:pPr>
              <w:pStyle w:val="Compact"/>
              <w:jc w:val="left"/>
            </w:pPr>
            <w:r>
              <w:rPr>
                <w:bCs/>
                <w:b/>
              </w:rPr>
              <w:t xml:space="preserve">Contingency 10%</w:t>
            </w:r>
          </w:p>
        </w:tc>
        <w:tc>
          <w:tcPr/>
          <w:p>
            <w:pPr>
              <w:pStyle w:val="Compact"/>
              <w:jc w:val="left"/>
            </w:pPr>
            <w:r>
              <w:t xml:space="preserve">₹13,300</w:t>
            </w:r>
          </w:p>
        </w:tc>
        <w:tc>
          <w:tcPr/>
          <w:p>
            <w:pPr>
              <w:pStyle w:val="Compact"/>
              <w:jc w:val="left"/>
            </w:pPr>
            <w:r>
              <w:t xml:space="preserve">₹17,500</w:t>
            </w:r>
          </w:p>
        </w:tc>
        <w:tc>
          <w:tcPr/>
          <w:p>
            <w:pPr>
              <w:pStyle w:val="Compact"/>
              <w:jc w:val="left"/>
            </w:pPr>
            <w:r>
              <w:t xml:space="preserve">₹13,334</w:t>
            </w:r>
          </w:p>
        </w:tc>
        <w:tc>
          <w:tcPr/>
          <w:p>
            <w:pPr>
              <w:pStyle w:val="Compact"/>
              <w:jc w:val="left"/>
            </w:pPr>
            <w:r>
              <w:t xml:space="preserve">₹44,134</w:t>
            </w:r>
          </w:p>
        </w:tc>
      </w:tr>
      <w:tr>
        <w:tc>
          <w:tcPr/>
          <w:p>
            <w:pPr>
              <w:pStyle w:val="Compact"/>
              <w:jc w:val="left"/>
            </w:pPr>
            <w:r>
              <w:rPr>
                <w:bCs/>
                <w:b/>
              </w:rPr>
              <w:t xml:space="preserve">Total 3-month budget</w:t>
            </w:r>
          </w:p>
        </w:tc>
        <w:tc>
          <w:tcPr/>
          <w:p>
            <w:pPr>
              <w:pStyle w:val="Compact"/>
              <w:jc w:val="left"/>
            </w:pPr>
            <w:r>
              <w:rPr>
                <w:bCs/>
                <w:b/>
              </w:rPr>
              <w:t xml:space="preserve">₹1,46,300</w:t>
            </w:r>
          </w:p>
        </w:tc>
        <w:tc>
          <w:tcPr/>
          <w:p>
            <w:pPr>
              <w:pStyle w:val="Compact"/>
              <w:jc w:val="left"/>
            </w:pPr>
            <w:r>
              <w:rPr>
                <w:bCs/>
                <w:b/>
              </w:rPr>
              <w:t xml:space="preserve">₹1,92,500</w:t>
            </w:r>
          </w:p>
        </w:tc>
        <w:tc>
          <w:tcPr/>
          <w:p>
            <w:pPr>
              <w:pStyle w:val="Compact"/>
              <w:jc w:val="left"/>
            </w:pPr>
            <w:r>
              <w:rPr>
                <w:bCs/>
                <w:b/>
              </w:rPr>
              <w:t xml:space="preserve">₹1,46,676</w:t>
            </w:r>
          </w:p>
        </w:tc>
        <w:tc>
          <w:tcPr/>
          <w:p>
            <w:pPr>
              <w:pStyle w:val="Compact"/>
              <w:jc w:val="left"/>
            </w:pPr>
            <w:r>
              <w:rPr>
                <w:bCs/>
                <w:b/>
              </w:rPr>
              <w:t xml:space="preserve">₹4,85,476</w:t>
            </w:r>
          </w:p>
        </w:tc>
      </w:tr>
    </w:tbl>
    <w:bookmarkEnd w:id="40"/>
    <w:bookmarkEnd w:id="41"/>
    <w:bookmarkStart w:id="42" w:name="X2d4902a6444e6fda502345915c6f9eb4088d317"/>
    <w:p>
      <w:pPr>
        <w:pStyle w:val="Heading2"/>
      </w:pPr>
      <w:r>
        <w:t xml:space="preserve">3. Personal runway (each founder fills in their own; not invented here)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Founder</w:t>
            </w:r>
          </w:p>
        </w:tc>
        <w:tc>
          <w:tcPr/>
          <w:p>
            <w:pPr>
              <w:pStyle w:val="Compact"/>
              <w:jc w:val="left"/>
            </w:pPr>
            <w:r>
              <w:t xml:space="preserve">Personal savings (₹)</w:t>
            </w:r>
          </w:p>
        </w:tc>
        <w:tc>
          <w:tcPr/>
          <w:p>
            <w:pPr>
              <w:pStyle w:val="Compact"/>
              <w:jc w:val="left"/>
            </w:pPr>
            <w:r>
              <w:t xml:space="preserve">Personal monthly expenses (₹)</w:t>
            </w:r>
          </w:p>
        </w:tc>
        <w:tc>
          <w:tcPr/>
          <w:p>
            <w:pPr>
              <w:pStyle w:val="Compact"/>
              <w:jc w:val="left"/>
            </w:pPr>
            <w:r>
              <w:t xml:space="preserve">Personal runway = savings ÷ expenses (months)</w:t>
            </w:r>
          </w:p>
        </w:tc>
      </w:tr>
      <w:tr>
        <w:tc>
          <w:tcPr/>
          <w:p>
            <w:pPr>
              <w:pStyle w:val="Compact"/>
              <w:jc w:val="left"/>
            </w:pPr>
            <w:r>
              <w:t xml:space="preserve">Pranshu Kumar</w:t>
            </w:r>
          </w:p>
        </w:tc>
        <w:tc>
          <w:tcPr/>
          <w:p>
            <w:pPr>
              <w:pStyle w:val="Compact"/>
            </w:pPr>
          </w:p>
        </w:tc>
        <w:tc>
          <w:tcPr/>
          <w:p>
            <w:pPr>
              <w:pStyle w:val="Compact"/>
            </w:pPr>
          </w:p>
        </w:tc>
        <w:tc>
          <w:tcPr/>
          <w:p>
            <w:pPr>
              <w:pStyle w:val="Compact"/>
            </w:pPr>
          </w:p>
        </w:tc>
      </w:tr>
      <w:tr>
        <w:tc>
          <w:tcPr/>
          <w:p>
            <w:pPr>
              <w:pStyle w:val="Compact"/>
              <w:jc w:val="left"/>
            </w:pPr>
            <w:r>
              <w:t xml:space="preserve">Pawan Shinde</w:t>
            </w:r>
          </w:p>
        </w:tc>
        <w:tc>
          <w:tcPr/>
          <w:p>
            <w:pPr>
              <w:pStyle w:val="Compact"/>
            </w:pPr>
          </w:p>
        </w:tc>
        <w:tc>
          <w:tcPr/>
          <w:p>
            <w:pPr>
              <w:pStyle w:val="Compact"/>
            </w:pPr>
          </w:p>
        </w:tc>
        <w:tc>
          <w:tcPr/>
          <w:p>
            <w:pPr>
              <w:pStyle w:val="Compact"/>
            </w:pPr>
          </w:p>
        </w:tc>
      </w:tr>
    </w:tbl>
    <w:p>
      <w:pPr>
        <w:pStyle w:val="BodyText"/>
      </w:pPr>
      <w:r>
        <w:t xml:space="preserve">Context from the plan: each founder draws a ₹15,000/month stipend in Phase 1 (M1–M6), ₹30,000 in M7–M24 and ₹45,000 in Year 3 (Forecast sheet). Personal runway shows how long each founder can continue if stipends are deferred.</w:t>
      </w:r>
    </w:p>
    <w:bookmarkEnd w:id="42"/>
    <w:bookmarkEnd w:id="43"/>
    <w:bookmarkStart w:id="50" w:name="M2.1"/>
    <w:p>
      <w:pPr>
        <w:pStyle w:val="BodyText"/>
      </w:pPr>
      <w:r>
        <w:t xml:space="preserve">M2 · Activity 1 · Mandatory Model M2.1</w:t>
      </w:r>
    </w:p>
    <w:bookmarkStart w:id="44" w:name="Xeb441ce70dedc223a25f838928fd70eee0f1a4f"/>
    <w:p>
      <w:pPr>
        <w:pStyle w:val="Heading1"/>
      </w:pPr>
      <w:r>
        <w:t xml:space="preserve">Evidence-Backed Business Model Canvas + Value Proposition Canvas</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44"/>
    <w:bookmarkStart w:id="45" w:name="business-model-canvas-all-nine-blocks"/>
    <w:p>
      <w:pPr>
        <w:pStyle w:val="Heading2"/>
      </w:pPr>
      <w:r>
        <w:t xml:space="preserve">1. Business Model Canvas (all nine blocks)</w:t>
      </w:r>
    </w:p>
    <w:tbl>
      <w:tblPr>
        <w:tblStyle w:val="Table"/>
        <w:tblW w:type="pct" w:w="5000"/>
        <w:tblLook w:firstRow="1" w:lastRow="0" w:firstColumn="0" w:lastColumn="0" w:noHBand="0" w:noVBand="0" w:val="0020"/>
        <w:jc w:val="start"/>
      </w:tblPr>
      <w:tblGrid>
        <w:gridCol w:w="1584"/>
        <w:gridCol w:w="4118"/>
        <w:gridCol w:w="2217"/>
      </w:tblGrid>
      <w:tr>
        <w:trPr>
          <w:tblHeader w:val="true"/>
        </w:trPr>
        <w:tc>
          <w:tcPr/>
          <w:p>
            <w:pPr>
              <w:pStyle w:val="Compact"/>
              <w:jc w:val="left"/>
            </w:pPr>
            <w:r>
              <w:t xml:space="preserve">Block</w:t>
            </w:r>
          </w:p>
        </w:tc>
        <w:tc>
          <w:tcPr/>
          <w:p>
            <w:pPr>
              <w:pStyle w:val="Compact"/>
              <w:jc w:val="left"/>
            </w:pPr>
            <w:r>
              <w:t xml:space="preserve">AVERRA</w:t>
            </w:r>
          </w:p>
        </w:tc>
        <w:tc>
          <w:tcPr/>
          <w:p>
            <w:pPr>
              <w:pStyle w:val="Compact"/>
              <w:jc w:val="left"/>
            </w:pPr>
            <w:r>
              <w:t xml:space="preserve">Evidence-backed or assumption?</w:t>
            </w:r>
          </w:p>
        </w:tc>
      </w:tr>
      <w:tr>
        <w:tc>
          <w:tcPr/>
          <w:p>
            <w:pPr>
              <w:pStyle w:val="Compact"/>
              <w:jc w:val="left"/>
            </w:pPr>
            <w:r>
              <w:rPr>
                <w:bCs/>
                <w:b/>
              </w:rPr>
              <w:t xml:space="preserve">Customer segments</w:t>
            </w:r>
          </w:p>
        </w:tc>
        <w:tc>
          <w:tcPr/>
          <w:p>
            <w:pPr>
              <w:pStyle w:val="Compact"/>
              <w:jc w:val="left"/>
            </w:pPr>
            <w:r>
              <w:t xml:space="preserve">Everyday wearable users; households living with Parkinson's or essential tremor; research labs</w:t>
            </w:r>
          </w:p>
        </w:tc>
        <w:tc>
          <w:tcPr/>
          <w:p>
            <w:pPr>
              <w:pStyle w:val="Compact"/>
              <w:jc w:val="left"/>
            </w:pPr>
            <w:r>
              <w:t xml:space="preserve">Assumption (sizes from published prevalence)</w:t>
            </w:r>
          </w:p>
        </w:tc>
      </w:tr>
      <w:tr>
        <w:tc>
          <w:tcPr/>
          <w:p>
            <w:pPr>
              <w:pStyle w:val="Compact"/>
              <w:jc w:val="left"/>
            </w:pPr>
            <w:r>
              <w:rPr>
                <w:bCs/>
                <w:b/>
              </w:rPr>
              <w:t xml:space="preserve">Value propositions</w:t>
            </w:r>
          </w:p>
        </w:tc>
        <w:tc>
          <w:tcPr/>
          <w:p>
            <w:pPr>
              <w:pStyle w:val="Compact"/>
              <w:jc w:val="left"/>
            </w:pPr>
            <w:r>
              <w:t xml:space="preserve">ParkinSense: a wearable for everyone with built-in tremor detection. TremoSense: active tremor assistance at an Indian price</w:t>
            </w:r>
          </w:p>
        </w:tc>
        <w:tc>
          <w:tcPr/>
          <w:p>
            <w:pPr>
              <w:pStyle w:val="Compact"/>
              <w:jc w:val="left"/>
            </w:pPr>
            <w:r>
              <w:t xml:space="preserve">Partly evidenced (bench results; no user study)</w:t>
            </w:r>
          </w:p>
        </w:tc>
      </w:tr>
      <w:tr>
        <w:tc>
          <w:tcPr/>
          <w:p>
            <w:pPr>
              <w:pStyle w:val="Compact"/>
              <w:jc w:val="left"/>
            </w:pPr>
            <w:r>
              <w:rPr>
                <w:bCs/>
                <w:b/>
              </w:rPr>
              <w:t xml:space="preserve">Channels</w:t>
            </w:r>
          </w:p>
        </w:tc>
        <w:tc>
          <w:tcPr/>
          <w:p>
            <w:pPr>
              <w:pStyle w:val="Compact"/>
              <w:jc w:val="left"/>
            </w:pPr>
            <w:r>
              <w:t xml:space="preserve">Clinic and OT referral; direct online; institutional procurement</w:t>
            </w:r>
          </w:p>
        </w:tc>
        <w:tc>
          <w:tcPr/>
          <w:p>
            <w:pPr>
              <w:pStyle w:val="Compact"/>
              <w:jc w:val="left"/>
            </w:pPr>
            <w:r>
              <w:t xml:space="preserve">Assumption</w:t>
            </w:r>
          </w:p>
        </w:tc>
      </w:tr>
      <w:tr>
        <w:tc>
          <w:tcPr/>
          <w:p>
            <w:pPr>
              <w:pStyle w:val="Compact"/>
              <w:jc w:val="left"/>
            </w:pPr>
            <w:r>
              <w:rPr>
                <w:bCs/>
                <w:b/>
              </w:rPr>
              <w:t xml:space="preserve">Customer relationships</w:t>
            </w:r>
          </w:p>
        </w:tc>
        <w:tc>
          <w:tcPr/>
          <w:p>
            <w:pPr>
              <w:pStyle w:val="Compact"/>
              <w:jc w:val="left"/>
            </w:pPr>
            <w:r>
              <w:t xml:space="preserve">Clinic-assisted trial; caregiver onboarding; remote support</w:t>
            </w:r>
          </w:p>
        </w:tc>
        <w:tc>
          <w:tcPr/>
          <w:p>
            <w:pPr>
              <w:pStyle w:val="Compact"/>
              <w:jc w:val="left"/>
            </w:pPr>
            <w:r>
              <w:t xml:space="preserve">Assumption</w:t>
            </w:r>
          </w:p>
        </w:tc>
      </w:tr>
      <w:tr>
        <w:tc>
          <w:tcPr/>
          <w:p>
            <w:pPr>
              <w:pStyle w:val="Compact"/>
              <w:jc w:val="left"/>
            </w:pPr>
            <w:r>
              <w:rPr>
                <w:bCs/>
                <w:b/>
              </w:rPr>
              <w:t xml:space="preserve">Revenue streams</w:t>
            </w:r>
          </w:p>
        </w:tc>
        <w:tc>
          <w:tcPr/>
          <w:p>
            <w:pPr>
              <w:pStyle w:val="Compact"/>
              <w:jc w:val="left"/>
            </w:pPr>
            <w:r>
              <w:t xml:space="preserve">TremoSense sale ₹9,999 or rental ₹799/mo; ParkinSense ₹7,999 + optional ₹199/mo; RUO kits ₹74,999</w:t>
            </w:r>
          </w:p>
        </w:tc>
        <w:tc>
          <w:tcPr/>
          <w:p>
            <w:pPr>
              <w:pStyle w:val="Compact"/>
              <w:jc w:val="left"/>
            </w:pPr>
            <w:r>
              <w:t xml:space="preserve">Assumption (prices planned, untested)</w:t>
            </w:r>
          </w:p>
        </w:tc>
      </w:tr>
      <w:tr>
        <w:tc>
          <w:tcPr/>
          <w:p>
            <w:pPr>
              <w:pStyle w:val="Compact"/>
              <w:jc w:val="left"/>
            </w:pPr>
            <w:r>
              <w:rPr>
                <w:bCs/>
                <w:b/>
              </w:rPr>
              <w:t xml:space="preserve">Key resources</w:t>
            </w:r>
          </w:p>
        </w:tc>
        <w:tc>
          <w:tcPr/>
          <w:p>
            <w:pPr>
              <w:pStyle w:val="Compact"/>
              <w:jc w:val="left"/>
            </w:pPr>
            <w:r>
              <w:t xml:space="preserve">Sensing and control know-how; two working prototypes; two papers; repositories</w:t>
            </w:r>
          </w:p>
        </w:tc>
        <w:tc>
          <w:tcPr/>
          <w:p>
            <w:pPr>
              <w:pStyle w:val="Compact"/>
              <w:jc w:val="left"/>
            </w:pPr>
            <w:r>
              <w:t xml:space="preserve">Evidence-backed (repos, papers)</w:t>
            </w:r>
          </w:p>
        </w:tc>
      </w:tr>
      <w:tr>
        <w:tc>
          <w:tcPr/>
          <w:p>
            <w:pPr>
              <w:pStyle w:val="Compact"/>
              <w:jc w:val="left"/>
            </w:pPr>
            <w:r>
              <w:rPr>
                <w:bCs/>
                <w:b/>
              </w:rPr>
              <w:t xml:space="preserve">Key activities</w:t>
            </w:r>
          </w:p>
        </w:tc>
        <w:tc>
          <w:tcPr/>
          <w:p>
            <w:pPr>
              <w:pStyle w:val="Compact"/>
              <w:jc w:val="left"/>
            </w:pPr>
            <w:r>
              <w:t xml:space="preserve">User studies; CDSCO and ISO 13485; firmware and DSP; small-batch assembly</w:t>
            </w:r>
          </w:p>
        </w:tc>
        <w:tc>
          <w:tcPr/>
          <w:p>
            <w:pPr>
              <w:pStyle w:val="Compact"/>
              <w:jc w:val="left"/>
            </w:pPr>
            <w:r>
              <w:t xml:space="preserve">Evidence-backed for engineering; assumption for regulatory route</w:t>
            </w:r>
          </w:p>
        </w:tc>
      </w:tr>
      <w:tr>
        <w:tc>
          <w:tcPr/>
          <w:p>
            <w:pPr>
              <w:pStyle w:val="Compact"/>
              <w:jc w:val="left"/>
            </w:pPr>
            <w:r>
              <w:rPr>
                <w:bCs/>
                <w:b/>
              </w:rPr>
              <w:t xml:space="preserve">Key partners</w:t>
            </w:r>
          </w:p>
        </w:tc>
        <w:tc>
          <w:tcPr/>
          <w:p>
            <w:pPr>
              <w:pStyle w:val="Compact"/>
              <w:jc w:val="left"/>
            </w:pPr>
            <w:r>
              <w:t xml:space="preserve">Neurology clinics; OT centres; university labs; a test lab; a contract assembler; ICMR (clinical evaluation in progress, founder-reported)</w:t>
            </w:r>
          </w:p>
        </w:tc>
        <w:tc>
          <w:tcPr/>
          <w:p>
            <w:pPr>
              <w:pStyle w:val="Compact"/>
              <w:jc w:val="left"/>
            </w:pPr>
            <w:r>
              <w:t xml:space="preserve">Partly evidenced (ICMR founder-reported; no clinic partners yet)</w:t>
            </w:r>
          </w:p>
        </w:tc>
      </w:tr>
      <w:tr>
        <w:tc>
          <w:tcPr/>
          <w:p>
            <w:pPr>
              <w:pStyle w:val="Compact"/>
              <w:jc w:val="left"/>
            </w:pPr>
            <w:r>
              <w:rPr>
                <w:bCs/>
                <w:b/>
              </w:rPr>
              <w:t xml:space="preserve">Cost structure</w:t>
            </w:r>
          </w:p>
        </w:tc>
        <w:tc>
          <w:tcPr/>
          <w:p>
            <w:pPr>
              <w:pStyle w:val="Compact"/>
              <w:jc w:val="left"/>
            </w:pPr>
            <w:r>
              <w:t xml:space="preserve">Phase 1 ₹8.76 L: team, study units, user study, IP. Then QMS, EMC, inventory and tooling, outreach</w:t>
            </w:r>
          </w:p>
        </w:tc>
        <w:tc>
          <w:tcPr/>
          <w:p>
            <w:pPr>
              <w:pStyle w:val="Compact"/>
              <w:jc w:val="left"/>
            </w:pPr>
            <w:r>
              <w:t xml:space="preserve">Evidence-backed for component prices (Seeed, servo retailers); rest estimated</w:t>
            </w:r>
          </w:p>
        </w:tc>
      </w:tr>
    </w:tbl>
    <w:bookmarkEnd w:id="45"/>
    <w:bookmarkStart w:id="48" w:name="value-proposition-canvas"/>
    <w:p>
      <w:pPr>
        <w:pStyle w:val="Heading2"/>
      </w:pPr>
      <w:r>
        <w:t xml:space="preserve">2. Value Proposition Canvas</w:t>
      </w:r>
    </w:p>
    <w:bookmarkStart w:id="46" w:name="Xd21188fc7365f07e903397dc2dd650eb3a962c6"/>
    <w:p>
      <w:pPr>
        <w:pStyle w:val="Heading3"/>
      </w:pPr>
      <w:r>
        <w:t xml:space="preserve">TremoSense — person with tremor and their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eat independently; eat in public without embarrassment; reduce the help needed at every meal</w:t>
            </w:r>
          </w:p>
        </w:tc>
        <w:tc>
          <w:tcPr/>
          <w:p>
            <w:pPr>
              <w:pStyle w:val="Compact"/>
              <w:jc w:val="left"/>
            </w:pPr>
            <w:r>
              <w:rPr>
                <w:bCs/>
                <w:b/>
              </w:rPr>
              <w:t xml:space="preserve">Product:</w:t>
            </w:r>
            <w:r>
              <w:t xml:space="preserve"> </w:t>
            </w:r>
            <w:r>
              <w:t xml:space="preserve">active two-axis stabilising spoon (IMU → EKF → LQR → two servos)</w:t>
            </w:r>
          </w:p>
        </w:tc>
      </w:tr>
      <w:tr>
        <w:tc>
          <w:tcPr/>
          <w:p>
            <w:pPr>
              <w:pStyle w:val="Compact"/>
              <w:jc w:val="left"/>
            </w:pPr>
            <w:r>
              <w:rPr>
                <w:bCs/>
                <w:b/>
              </w:rPr>
              <w:t xml:space="preserve">Pains:</w:t>
            </w:r>
            <w:r>
              <w:t xml:space="preserve"> </w:t>
            </w:r>
            <w:r>
              <w:t xml:space="preserve">spills; embarrassment (Kellner 2017); imported active spoons cost ₹35,980–₹58,480; weighted spoons tire the hand</w:t>
            </w:r>
          </w:p>
        </w:tc>
        <w:tc>
          <w:tcPr/>
          <w:p>
            <w:pPr>
              <w:pStyle w:val="Compact"/>
              <w:jc w:val="left"/>
            </w:pPr>
            <w:r>
              <w:rPr>
                <w:bCs/>
                <w:b/>
              </w:rPr>
              <w:t xml:space="preserve">Pain relievers:</w:t>
            </w:r>
            <w:r>
              <w:t xml:space="preserve"> </w:t>
            </w:r>
            <w:r>
              <w:t xml:space="preserve">≈90% tremor rejection on the bench (founder-reported); planned price ₹9,999; built and serviced in India</w:t>
            </w:r>
          </w:p>
        </w:tc>
      </w:tr>
      <w:tr>
        <w:tc>
          <w:tcPr/>
          <w:p>
            <w:pPr>
              <w:pStyle w:val="Compact"/>
              <w:jc w:val="left"/>
            </w:pPr>
            <w:r>
              <w:rPr>
                <w:bCs/>
                <w:b/>
              </w:rPr>
              <w:t xml:space="preserve">Gains:</w:t>
            </w:r>
            <w:r>
              <w:t xml:space="preserve"> </w:t>
            </w:r>
            <w:r>
              <w:t xml:space="preserve">dignity; fewer meals needing help; caregiver time back</w:t>
            </w:r>
          </w:p>
        </w:tc>
        <w:tc>
          <w:tcPr/>
          <w:p>
            <w:pPr>
              <w:pStyle w:val="Compact"/>
              <w:jc w:val="left"/>
            </w:pPr>
            <w:r>
              <w:rPr>
                <w:bCs/>
                <w:b/>
              </w:rPr>
              <w:t xml:space="preserve">Gain creators:</w:t>
            </w:r>
            <w:r>
              <w:t xml:space="preserve"> </w:t>
            </w:r>
            <w:r>
              <w:t xml:space="preserve">rental option ₹799/month; clinic-assisted trial before buying</w:t>
            </w:r>
          </w:p>
        </w:tc>
      </w:tr>
    </w:tbl>
    <w:bookmarkEnd w:id="46"/>
    <w:bookmarkStart w:id="47" w:name="X4b5164df4b7bd48f9d84ba255168b9df849766c"/>
    <w:p>
      <w:pPr>
        <w:pStyle w:val="Heading3"/>
      </w:pPr>
      <w:r>
        <w:t xml:space="preserve">ParkinSense — wearable user (including people living with tremor)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Customer profile</w:t>
            </w:r>
          </w:p>
        </w:tc>
        <w:tc>
          <w:tcPr/>
          <w:p>
            <w:pPr>
              <w:pStyle w:val="Compact"/>
              <w:jc w:val="left"/>
            </w:pPr>
            <w:r>
              <w:t xml:space="preserve">Value map</w:t>
            </w:r>
          </w:p>
        </w:tc>
      </w:tr>
      <w:tr>
        <w:tc>
          <w:tcPr/>
          <w:p>
            <w:pPr>
              <w:pStyle w:val="Compact"/>
              <w:jc w:val="left"/>
            </w:pPr>
            <w:r>
              <w:rPr>
                <w:bCs/>
                <w:b/>
              </w:rPr>
              <w:t xml:space="preserve">Jobs:</w:t>
            </w:r>
            <w:r>
              <w:t xml:space="preserve"> </w:t>
            </w:r>
            <w:r>
              <w:t xml:space="preserve">understand activity, vitals and movement every day; share a record with a clinician</w:t>
            </w:r>
          </w:p>
        </w:tc>
        <w:tc>
          <w:tcPr/>
          <w:p>
            <w:pPr>
              <w:pStyle w:val="Compact"/>
              <w:jc w:val="left"/>
            </w:pPr>
            <w:r>
              <w:rPr>
                <w:bCs/>
                <w:b/>
              </w:rPr>
              <w:t xml:space="preserve">Product:</w:t>
            </w:r>
            <w:r>
              <w:t xml:space="preserve"> </w:t>
            </w:r>
            <w:r>
              <w:t xml:space="preserve">screenless wrist band streaming IMU + PPG over BLE to a dashboard</w:t>
            </w:r>
          </w:p>
        </w:tc>
      </w:tr>
      <w:tr>
        <w:tc>
          <w:tcPr/>
          <w:p>
            <w:pPr>
              <w:pStyle w:val="Compact"/>
              <w:jc w:val="left"/>
            </w:pPr>
            <w:r>
              <w:rPr>
                <w:bCs/>
                <w:b/>
              </w:rPr>
              <w:t xml:space="preserve">Pains:</w:t>
            </w:r>
            <w:r>
              <w:t xml:space="preserve"> </w:t>
            </w:r>
            <w:r>
              <w:t xml:space="preserve">clinic sees only a snapshot (Hadley 2021); screenless bands cost ₹12,000–₹25,990 and none lists tremor detection</w:t>
            </w:r>
          </w:p>
        </w:tc>
        <w:tc>
          <w:tcPr/>
          <w:p>
            <w:pPr>
              <w:pStyle w:val="Compact"/>
              <w:jc w:val="left"/>
            </w:pPr>
            <w:r>
              <w:rPr>
                <w:bCs/>
                <w:b/>
              </w:rPr>
              <w:t xml:space="preserve">Pain relievers:</w:t>
            </w:r>
            <w:r>
              <w:t xml:space="preserve"> </w:t>
            </w:r>
            <w:r>
              <w:t xml:space="preserve">tremor score, frequency and burden; tremor never counted as steps; ₹7,999 with no mandatory subscription</w:t>
            </w:r>
          </w:p>
        </w:tc>
      </w:tr>
      <w:tr>
        <w:tc>
          <w:tcPr/>
          <w:p>
            <w:pPr>
              <w:pStyle w:val="Compact"/>
              <w:jc w:val="left"/>
            </w:pPr>
            <w:r>
              <w:rPr>
                <w:bCs/>
                <w:b/>
              </w:rPr>
              <w:t xml:space="preserve">Gains:</w:t>
            </w:r>
            <w:r>
              <w:t xml:space="preserve"> </w:t>
            </w:r>
            <w:r>
              <w:t xml:space="preserve">long battery; a clear history to discuss with a doctor</w:t>
            </w:r>
          </w:p>
        </w:tc>
        <w:tc>
          <w:tcPr/>
          <w:p>
            <w:pPr>
              <w:pStyle w:val="Compact"/>
              <w:jc w:val="left"/>
            </w:pPr>
            <w:r>
              <w:rPr>
                <w:bCs/>
                <w:b/>
              </w:rPr>
              <w:t xml:space="preserve">Gain creators:</w:t>
            </w:r>
            <w:r>
              <w:t xml:space="preserve"> </w:t>
            </w:r>
            <w:r>
              <w:t xml:space="preserve">live dashboard; optional ₹199/month insights plan</w:t>
            </w:r>
          </w:p>
        </w:tc>
      </w:tr>
    </w:tbl>
    <w:bookmarkEnd w:id="47"/>
    <w:bookmarkEnd w:id="48"/>
    <w:bookmarkStart w:id="49" w:name="X66019e94a05c3c5fe99b7f9b25d059bfbe62078"/>
    <w:p>
      <w:pPr>
        <w:pStyle w:val="Heading2"/>
      </w:pPr>
      <w:r>
        <w:t xml:space="preserve">3. The three riskiest assumptions and how we test each</w:t>
      </w:r>
    </w:p>
    <w:tbl>
      <w:tblPr>
        <w:tblStyle w:val="Table"/>
        <w:tblW w:type="pct" w:w="5000"/>
        <w:tblLook w:firstRow="1" w:lastRow="0" w:firstColumn="0" w:lastColumn="0" w:noHBand="0" w:noVBand="0" w:val="0020"/>
        <w:jc w:val="start"/>
      </w:tblPr>
      <w:tblGrid>
        <w:gridCol w:w="316"/>
        <w:gridCol w:w="2376"/>
        <w:gridCol w:w="1584"/>
        <w:gridCol w:w="3643"/>
      </w:tblGrid>
      <w:tr>
        <w:trPr>
          <w:tblHeader w:val="true"/>
        </w:trPr>
        <w:tc>
          <w:tcPr/>
          <w:p>
            <w:pPr>
              <w:pStyle w:val="Compact"/>
              <w:jc w:val="left"/>
            </w:pPr>
            <w:r>
              <w:t xml:space="preserve">#</w:t>
            </w:r>
          </w:p>
        </w:tc>
        <w:tc>
          <w:tcPr/>
          <w:p>
            <w:pPr>
              <w:pStyle w:val="Compact"/>
              <w:jc w:val="left"/>
            </w:pPr>
            <w:r>
              <w:t xml:space="preserve">Riskiest assumption</w:t>
            </w:r>
          </w:p>
        </w:tc>
        <w:tc>
          <w:tcPr/>
          <w:p>
            <w:pPr>
              <w:pStyle w:val="Compact"/>
              <w:jc w:val="left"/>
            </w:pPr>
            <w:r>
              <w:t xml:space="preserve">Why it would sink us</w:t>
            </w:r>
          </w:p>
        </w:tc>
        <w:tc>
          <w:tcPr/>
          <w:p>
            <w:pPr>
              <w:pStyle w:val="Compact"/>
              <w:jc w:val="left"/>
            </w:pPr>
            <w:r>
              <w:t xml:space="preserve">Test (one line)</w:t>
            </w:r>
          </w:p>
        </w:tc>
      </w:tr>
      <w:tr>
        <w:tc>
          <w:tcPr/>
          <w:p>
            <w:pPr>
              <w:pStyle w:val="Compact"/>
              <w:jc w:val="left"/>
            </w:pPr>
            <w:r>
              <w:t xml:space="preserve">1</w:t>
            </w:r>
          </w:p>
        </w:tc>
        <w:tc>
          <w:tcPr/>
          <w:p>
            <w:pPr>
              <w:pStyle w:val="Compact"/>
              <w:jc w:val="left"/>
            </w:pPr>
            <w:r>
              <w:t xml:space="preserve">Bench tremor rejection turns into easier eating with real food and real hands</w:t>
            </w:r>
          </w:p>
        </w:tc>
        <w:tc>
          <w:tcPr/>
          <w:p>
            <w:pPr>
              <w:pStyle w:val="Compact"/>
              <w:jc w:val="left"/>
            </w:pPr>
            <w:r>
              <w:t xml:space="preserve">No product without it</w:t>
            </w:r>
          </w:p>
        </w:tc>
        <w:tc>
          <w:tcPr/>
          <w:p>
            <w:pPr>
              <w:pStyle w:val="Compact"/>
              <w:jc w:val="left"/>
            </w:pPr>
            <w:r>
              <w:t xml:space="preserve">Preregistered self-feeding study, n ≥ 10, M6: continue only if median reduction ≥50%</w:t>
            </w:r>
          </w:p>
        </w:tc>
      </w:tr>
      <w:tr>
        <w:tc>
          <w:tcPr/>
          <w:p>
            <w:pPr>
              <w:pStyle w:val="Compact"/>
              <w:jc w:val="left"/>
            </w:pPr>
            <w:r>
              <w:t xml:space="preserve">2</w:t>
            </w:r>
          </w:p>
        </w:tc>
        <w:tc>
          <w:tcPr/>
          <w:p>
            <w:pPr>
              <w:pStyle w:val="Compact"/>
              <w:jc w:val="left"/>
            </w:pPr>
            <w:r>
              <w:t xml:space="preserve">Families will pay ₹9,999 (or rent at ₹799/month)</w:t>
            </w:r>
          </w:p>
        </w:tc>
        <w:tc>
          <w:tcPr/>
          <w:p>
            <w:pPr>
              <w:pStyle w:val="Compact"/>
              <w:jc w:val="left"/>
            </w:pPr>
            <w:r>
              <w:t xml:space="preserve">Unit economics fail</w:t>
            </w:r>
          </w:p>
        </w:tc>
        <w:tc>
          <w:tcPr/>
          <w:p>
            <w:pPr>
              <w:pStyle w:val="Compact"/>
              <w:jc w:val="left"/>
            </w:pPr>
            <w:r>
              <w:t xml:space="preserve">In-clinic trial-to-purchase test, 10 clinics, 8 weeks: ≥30% buy at ₹9,999</w:t>
            </w:r>
          </w:p>
        </w:tc>
      </w:tr>
      <w:tr>
        <w:tc>
          <w:tcPr/>
          <w:p>
            <w:pPr>
              <w:pStyle w:val="Compact"/>
              <w:jc w:val="left"/>
            </w:pPr>
            <w:r>
              <w:t xml:space="preserve">3</w:t>
            </w:r>
          </w:p>
        </w:tc>
        <w:tc>
          <w:tcPr/>
          <w:p>
            <w:pPr>
              <w:pStyle w:val="Compact"/>
              <w:jc w:val="left"/>
            </w:pPr>
            <w:r>
              <w:t xml:space="preserve">Clinicians will refer patients</w:t>
            </w:r>
          </w:p>
        </w:tc>
        <w:tc>
          <w:tcPr/>
          <w:p>
            <w:pPr>
              <w:pStyle w:val="Compact"/>
              <w:jc w:val="left"/>
            </w:pPr>
            <w:r>
              <w:t xml:space="preserve">Channel and CAC fail</w:t>
            </w:r>
          </w:p>
        </w:tc>
        <w:tc>
          <w:tcPr/>
          <w:p>
            <w:pPr>
              <w:pStyle w:val="Compact"/>
              <w:jc w:val="left"/>
            </w:pPr>
            <w:r>
              <w:t xml:space="preserve">Outreach to 10 neurologists/OT centres: ≥5 agree to host a trial; track referrals per clinic per month</w:t>
            </w:r>
          </w:p>
        </w:tc>
      </w:tr>
    </w:tbl>
    <w:bookmarkEnd w:id="49"/>
    <w:bookmarkEnd w:id="50"/>
    <w:bookmarkStart w:id="55" w:name="M2.2"/>
    <w:p>
      <w:pPr>
        <w:pStyle w:val="BodyText"/>
      </w:pPr>
      <w:r>
        <w:t xml:space="preserve">M2 · Activity 2 · Mandatory Model M2.2</w:t>
      </w:r>
    </w:p>
    <w:bookmarkStart w:id="51" w:name="mvp-validation-experiment-decision"/>
    <w:p>
      <w:pPr>
        <w:pStyle w:val="Heading1"/>
      </w:pPr>
      <w:r>
        <w:t xml:space="preserve">MVP Validation Experiment &amp; Decision</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Planned – protocol ready, not yet run</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51"/>
    <w:bookmarkStart w:id="52" w:name="what-exists-today-evidence"/>
    <w:p>
      <w:pPr>
        <w:pStyle w:val="Heading2"/>
      </w:pPr>
      <w:r>
        <w:t xml:space="preserve">1. What exists today (evidence)</w:t>
      </w:r>
    </w:p>
    <w:tbl>
      <w:tblPr>
        <w:tblStyle w:val="Table"/>
        <w:tblW w:type="pct" w:w="5000"/>
        <w:tblLook w:firstRow="1" w:lastRow="0" w:firstColumn="0" w:lastColumn="0" w:noHBand="0" w:noVBand="0" w:val="0020"/>
        <w:jc w:val="start"/>
      </w:tblPr>
      <w:tblGrid>
        <w:gridCol w:w="1900"/>
        <w:gridCol w:w="2217"/>
        <w:gridCol w:w="2534"/>
        <w:gridCol w:w="1267"/>
      </w:tblGrid>
      <w:tr>
        <w:trPr>
          <w:tblHeader w:val="true"/>
        </w:trPr>
        <w:tc>
          <w:tcPr/>
          <w:p>
            <w:pPr>
              <w:pStyle w:val="Compact"/>
              <w:jc w:val="left"/>
            </w:pPr>
            <w:r>
              <w:t xml:space="preserve">MVP</w:t>
            </w:r>
          </w:p>
        </w:tc>
        <w:tc>
          <w:tcPr/>
          <w:p>
            <w:pPr>
              <w:pStyle w:val="Compact"/>
              <w:jc w:val="left"/>
            </w:pPr>
            <w:r>
              <w:t xml:space="preserve">What was run</w:t>
            </w:r>
          </w:p>
        </w:tc>
        <w:tc>
          <w:tcPr/>
          <w:p>
            <w:pPr>
              <w:pStyle w:val="Compact"/>
              <w:jc w:val="left"/>
            </w:pPr>
            <w:r>
              <w:t xml:space="preserve">Result so far</w:t>
            </w:r>
          </w:p>
        </w:tc>
        <w:tc>
          <w:tcPr/>
          <w:p>
            <w:pPr>
              <w:pStyle w:val="Compact"/>
              <w:jc w:val="left"/>
            </w:pPr>
            <w:r>
              <w:t xml:space="preserve">Status</w:t>
            </w:r>
          </w:p>
        </w:tc>
      </w:tr>
      <w:tr>
        <w:tc>
          <w:tcPr/>
          <w:p>
            <w:pPr>
              <w:pStyle w:val="Compact"/>
              <w:jc w:val="left"/>
            </w:pPr>
            <w:r>
              <w:t xml:space="preserve">TremoSense current build (Zephyr, 208 Hz, higher-torque servos)</w:t>
            </w:r>
          </w:p>
        </w:tc>
        <w:tc>
          <w:tcPr/>
          <w:p>
            <w:pPr>
              <w:pStyle w:val="Compact"/>
              <w:jc w:val="left"/>
            </w:pPr>
            <w:r>
              <w:t xml:space="preserve">Motorised tremor simulator at 4, 6, 8 Hz, ±5°; 2 people with tremor tried it informally</w:t>
            </w:r>
          </w:p>
        </w:tc>
        <w:tc>
          <w:tcPr/>
          <w:p>
            <w:pPr>
              <w:pStyle w:val="Compact"/>
              <w:jc w:val="left"/>
            </w:pPr>
            <w:r>
              <w:t xml:space="preserve">≈90% tremor rejection on the bench (founder-reported; logs to be published); positive informal feedback, no metric</w:t>
            </w:r>
          </w:p>
        </w:tc>
        <w:tc>
          <w:tcPr/>
          <w:p>
            <w:pPr>
              <w:pStyle w:val="Compact"/>
              <w:jc w:val="left"/>
            </w:pPr>
            <w:r>
              <w:t xml:space="preserve">Bench evidence only</w:t>
            </w:r>
          </w:p>
        </w:tc>
      </w:tr>
      <w:tr>
        <w:tc>
          <w:tcPr/>
          <w:p>
            <w:pPr>
              <w:pStyle w:val="Compact"/>
              <w:jc w:val="left"/>
            </w:pPr>
            <w:r>
              <w:t xml:space="preserve">ParkinSense prototype + dashboard</w:t>
            </w:r>
          </w:p>
        </w:tc>
        <w:tc>
          <w:tcPr/>
          <w:p>
            <w:pPr>
              <w:pStyle w:val="Compact"/>
              <w:jc w:val="left"/>
            </w:pPr>
            <w:r>
              <w:t xml:space="preserve">Bench conditions (rest, 5 Hz fixture, walking, arm motion); BLE soak; power profiling</w:t>
            </w:r>
          </w:p>
        </w:tc>
        <w:tc>
          <w:tcPr/>
          <w:p>
            <w:pPr>
              <w:pStyle w:val="Compact"/>
              <w:jc w:val="left"/>
            </w:pPr>
            <w:r>
              <w:t xml:space="preserve">8/8 bench conditions correct; ≈7 mA. Clinical evaluation with ICMR in progress, results pending (founder-reported)</w:t>
            </w:r>
          </w:p>
        </w:tc>
        <w:tc>
          <w:tcPr/>
          <w:p>
            <w:pPr>
              <w:pStyle w:val="Compact"/>
              <w:jc w:val="left"/>
            </w:pPr>
            <w:r>
              <w:t xml:space="preserve">Bench evidence; clinical results pending</w:t>
            </w:r>
          </w:p>
        </w:tc>
      </w:tr>
    </w:tbl>
    <w:p>
      <w:pPr>
        <w:pStyle w:val="BodyText"/>
      </w:pPr>
      <w:r>
        <w:t xml:space="preserve">No success metric was preregistered before the bench tests above, so they are reported as bench evidence, not as a validated MVP. The experiment below is the first preregistered test and has</w:t>
      </w:r>
      <w:r>
        <w:t xml:space="preserve"> </w:t>
      </w:r>
      <w:r>
        <w:rPr>
          <w:bCs/>
          <w:b/>
        </w:rPr>
        <w:t xml:space="preserve">not yet been run</w:t>
      </w:r>
      <w:r>
        <w:t xml:space="preserve">.</w:t>
      </w:r>
    </w:p>
    <w:bookmarkEnd w:id="52"/>
    <w:bookmarkStart w:id="53" w:name="preregistered-experiment-planned-for-m6"/>
    <w:p>
      <w:pPr>
        <w:pStyle w:val="Heading2"/>
      </w:pPr>
      <w:r>
        <w:t xml:space="preserve">2. Preregistered experiment (planned for M6)</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Protocol</w:t>
            </w:r>
          </w:p>
        </w:tc>
      </w:tr>
      <w:tr>
        <w:tc>
          <w:tcPr/>
          <w:p>
            <w:pPr>
              <w:pStyle w:val="Compact"/>
              <w:jc w:val="left"/>
            </w:pPr>
            <w:r>
              <w:t xml:space="preserve">MVP being tested</w:t>
            </w:r>
          </w:p>
        </w:tc>
        <w:tc>
          <w:tcPr/>
          <w:p>
            <w:pPr>
              <w:pStyle w:val="Compact"/>
              <w:jc w:val="left"/>
            </w:pPr>
            <w:r>
              <w:t xml:space="preserve">12 TremoSense study units (Scenario A build)</w:t>
            </w:r>
          </w:p>
        </w:tc>
      </w:tr>
      <w:tr>
        <w:tc>
          <w:tcPr/>
          <w:p>
            <w:pPr>
              <w:pStyle w:val="Compact"/>
              <w:jc w:val="left"/>
            </w:pPr>
            <w:r>
              <w:t xml:space="preserve">Target user</w:t>
            </w:r>
          </w:p>
        </w:tc>
        <w:tc>
          <w:tcPr/>
          <w:p>
            <w:pPr>
              <w:pStyle w:val="Compact"/>
              <w:jc w:val="left"/>
            </w:pPr>
            <w:r>
              <w:t xml:space="preserve">Adults with Parkinson's or essential tremor whose tremor disrupts eating; recruited via neurologists/OT centres; ethics approval first</w:t>
            </w:r>
          </w:p>
        </w:tc>
      </w:tr>
      <w:tr>
        <w:tc>
          <w:tcPr/>
          <w:p>
            <w:pPr>
              <w:pStyle w:val="Compact"/>
              <w:jc w:val="left"/>
            </w:pPr>
            <w:r>
              <w:t xml:space="preserve">Hypothesis</w:t>
            </w:r>
          </w:p>
        </w:tc>
        <w:tc>
          <w:tcPr/>
          <w:p>
            <w:pPr>
              <w:pStyle w:val="Compact"/>
              <w:jc w:val="left"/>
            </w:pPr>
            <w:r>
              <w:t xml:space="preserve">Using TremoSense reduces tremor amplitude at the spoon head during a standard self-feeding task, and users value it enough to pay ₹9,999</w:t>
            </w:r>
          </w:p>
        </w:tc>
      </w:tr>
      <w:tr>
        <w:tc>
          <w:tcPr/>
          <w:p>
            <w:pPr>
              <w:pStyle w:val="Compact"/>
              <w:jc w:val="left"/>
            </w:pPr>
            <w:r>
              <w:t xml:space="preserve">Success metric 1</w:t>
            </w:r>
          </w:p>
        </w:tc>
        <w:tc>
          <w:tcPr/>
          <w:p>
            <w:pPr>
              <w:pStyle w:val="Compact"/>
              <w:jc w:val="left"/>
            </w:pPr>
            <w:r>
              <w:t xml:space="preserve">Median reduction in spoon-head tremor amplitude (IMU) vs a normal spoon, same participant, same task</w:t>
            </w:r>
          </w:p>
        </w:tc>
      </w:tr>
      <w:tr>
        <w:tc>
          <w:tcPr/>
          <w:p>
            <w:pPr>
              <w:pStyle w:val="Compact"/>
              <w:jc w:val="left"/>
            </w:pPr>
            <w:r>
              <w:t xml:space="preserve">Success metric 2</w:t>
            </w:r>
          </w:p>
        </w:tc>
        <w:tc>
          <w:tcPr/>
          <w:p>
            <w:pPr>
              <w:pStyle w:val="Compact"/>
              <w:jc w:val="left"/>
            </w:pPr>
            <w:r>
              <w:t xml:space="preserve">Share of participants who say they would pay ₹9,999 (or rent at ₹799/month) after the session</w:t>
            </w:r>
          </w:p>
        </w:tc>
      </w:tr>
      <w:tr>
        <w:tc>
          <w:tcPr/>
          <w:p>
            <w:pPr>
              <w:pStyle w:val="Compact"/>
              <w:jc w:val="left"/>
            </w:pPr>
            <w:r>
              <w:t xml:space="preserve">Preregistered thresholds</w:t>
            </w:r>
          </w:p>
        </w:tc>
        <w:tc>
          <w:tcPr/>
          <w:p>
            <w:pPr>
              <w:pStyle w:val="Compact"/>
              <w:jc w:val="left"/>
            </w:pPr>
            <w:r>
              <w:t xml:space="preserve">Persevere: median reduction ≥50% AND ≥60% would pay · Redesign and re-test once: 30–50% · Kill TremoSense: &lt;30% · Pivot to clinic rental: works but &lt;60% would pay</w:t>
            </w:r>
          </w:p>
        </w:tc>
      </w:tr>
      <w:tr>
        <w:tc>
          <w:tcPr/>
          <w:p>
            <w:pPr>
              <w:pStyle w:val="Compact"/>
              <w:jc w:val="left"/>
            </w:pPr>
            <w:r>
              <w:t xml:space="preserve">Procedure</w:t>
            </w:r>
          </w:p>
        </w:tc>
        <w:tc>
          <w:tcPr/>
          <w:p>
            <w:pPr>
              <w:pStyle w:val="Compact"/>
              <w:jc w:val="left"/>
            </w:pPr>
            <w:r>
              <w:t xml:space="preserve">Each participant: 10 spoonfuls of a standard food with a normal spoon, then 10 with TremoSense (order randomised); log IMU on handle and head; short interview</w:t>
            </w:r>
          </w:p>
        </w:tc>
      </w:tr>
      <w:tr>
        <w:tc>
          <w:tcPr/>
          <w:p>
            <w:pPr>
              <w:pStyle w:val="Compact"/>
              <w:jc w:val="left"/>
            </w:pPr>
            <w:r>
              <w:t xml:space="preserve">Duration and sample</w:t>
            </w:r>
          </w:p>
        </w:tc>
        <w:tc>
          <w:tcPr/>
          <w:p>
            <w:pPr>
              <w:pStyle w:val="Compact"/>
              <w:jc w:val="left"/>
            </w:pPr>
            <w:r>
              <w:t xml:space="preserve">4 weeks in M5–M6; n ≥ 10</w:t>
            </w:r>
          </w:p>
        </w:tc>
      </w:tr>
      <w:tr>
        <w:tc>
          <w:tcPr/>
          <w:p>
            <w:pPr>
              <w:pStyle w:val="Compact"/>
              <w:jc w:val="left"/>
            </w:pPr>
            <w:r>
              <w:t xml:space="preserve">ParkinSense pass mark (M10)</w:t>
            </w:r>
          </w:p>
        </w:tc>
        <w:tc>
          <w:tcPr/>
          <w:p>
            <w:pPr>
              <w:pStyle w:val="Compact"/>
              <w:jc w:val="left"/>
            </w:pPr>
            <w:r>
              <w:t xml:space="preserve">Dominant-frequency error ≤5% vs a reference device; zero false steps during tremor</w:t>
            </w:r>
          </w:p>
        </w:tc>
      </w:tr>
    </w:tbl>
    <w:bookmarkEnd w:id="53"/>
    <w:bookmarkStart w:id="54" w:name="Xfbb4012fd7b679db281929676682483ff69627b"/>
    <w:p>
      <w:pPr>
        <w:pStyle w:val="Heading2"/>
      </w:pPr>
      <w:r>
        <w:t xml:space="preserve">3. Results and decision (fill in only with real results)</w:t>
      </w:r>
    </w:p>
    <w:tbl>
      <w:tblPr>
        <w:tblStyle w:val="Table"/>
        <w:tblW w:type="pct" w:w="5000"/>
        <w:tblLook w:firstRow="1" w:lastRow="0" w:firstColumn="0" w:lastColumn="0" w:noHBand="0" w:noVBand="0" w:val="0020"/>
        <w:jc w:val="start"/>
      </w:tblPr>
      <w:tblGrid>
        <w:gridCol w:w="2376"/>
        <w:gridCol w:w="1980"/>
        <w:gridCol w:w="2376"/>
        <w:gridCol w:w="1188"/>
      </w:tblGrid>
      <w:tr>
        <w:trPr>
          <w:tblHeader w:val="true"/>
        </w:trPr>
        <w:tc>
          <w:tcPr/>
          <w:p>
            <w:pPr>
              <w:pStyle w:val="Compact"/>
              <w:jc w:val="left"/>
            </w:pPr>
            <w:r>
              <w:t xml:space="preserve">Metric</w:t>
            </w:r>
          </w:p>
        </w:tc>
        <w:tc>
          <w:tcPr/>
          <w:p>
            <w:pPr>
              <w:pStyle w:val="Compact"/>
              <w:jc w:val="left"/>
            </w:pPr>
            <w:r>
              <w:t xml:space="preserve">Preregistered threshold</w:t>
            </w:r>
          </w:p>
        </w:tc>
        <w:tc>
          <w:tcPr/>
          <w:p>
            <w:pPr>
              <w:pStyle w:val="Compact"/>
              <w:jc w:val="left"/>
            </w:pPr>
            <w:r>
              <w:t xml:space="preserve">Actual result</w:t>
            </w:r>
          </w:p>
        </w:tc>
        <w:tc>
          <w:tcPr/>
          <w:p>
            <w:pPr>
              <w:pStyle w:val="Compact"/>
              <w:jc w:val="left"/>
            </w:pPr>
            <w:r>
              <w:t xml:space="preserve">Met?</w:t>
            </w:r>
          </w:p>
        </w:tc>
      </w:tr>
      <w:tr>
        <w:tc>
          <w:tcPr/>
          <w:p>
            <w:pPr>
              <w:pStyle w:val="Compact"/>
              <w:jc w:val="left"/>
            </w:pPr>
            <w:r>
              <w:t xml:space="preserve">Median tremor reduction</w:t>
            </w:r>
          </w:p>
        </w:tc>
        <w:tc>
          <w:tcPr/>
          <w:p>
            <w:pPr>
              <w:pStyle w:val="Compact"/>
              <w:jc w:val="left"/>
            </w:pPr>
            <w:r>
              <w:t xml:space="preserve">≥50%</w:t>
            </w:r>
          </w:p>
        </w:tc>
        <w:tc>
          <w:tcPr/>
          <w:p>
            <w:pPr>
              <w:pStyle w:val="Compact"/>
            </w:pPr>
          </w:p>
        </w:tc>
        <w:tc>
          <w:tcPr/>
          <w:p>
            <w:pPr>
              <w:pStyle w:val="Compact"/>
            </w:pPr>
          </w:p>
        </w:tc>
      </w:tr>
      <w:tr>
        <w:tc>
          <w:tcPr/>
          <w:p>
            <w:pPr>
              <w:pStyle w:val="Compact"/>
              <w:jc w:val="left"/>
            </w:pPr>
            <w:r>
              <w:t xml:space="preserve">Would pay ₹9,999 / rent</w:t>
            </w:r>
          </w:p>
        </w:tc>
        <w:tc>
          <w:tcPr/>
          <w:p>
            <w:pPr>
              <w:pStyle w:val="Compact"/>
              <w:jc w:val="left"/>
            </w:pPr>
            <w:r>
              <w:t xml:space="preserve">≥60%</w:t>
            </w:r>
          </w:p>
        </w:tc>
        <w:tc>
          <w:tcPr/>
          <w:p>
            <w:pPr>
              <w:pStyle w:val="Compact"/>
            </w:pPr>
          </w:p>
        </w:tc>
        <w:tc>
          <w:tcPr/>
          <w:p>
            <w:pPr>
              <w:pStyle w:val="Compact"/>
            </w:pPr>
          </w:p>
        </w:tc>
      </w:tr>
      <w:tr>
        <w:tc>
          <w:tcPr/>
          <w:p>
            <w:pPr>
              <w:pStyle w:val="Compact"/>
              <w:jc w:val="left"/>
            </w:pPr>
            <w:r>
              <w:t xml:space="preserve">Participants completed</w:t>
            </w:r>
          </w:p>
        </w:tc>
        <w:tc>
          <w:tcPr/>
          <w:p>
            <w:pPr>
              <w:pStyle w:val="Compact"/>
              <w:jc w:val="left"/>
            </w:pPr>
            <w:r>
              <w:t xml:space="preserve">≥10</w:t>
            </w:r>
          </w:p>
        </w:tc>
        <w:tc>
          <w:tcPr/>
          <w:p>
            <w:pPr>
              <w:pStyle w:val="Compact"/>
            </w:pPr>
          </w:p>
        </w:tc>
        <w:tc>
          <w:tcPr/>
          <w:p>
            <w:pPr>
              <w:pStyle w:val="Compact"/>
            </w:pPr>
          </w:p>
        </w:tc>
      </w:tr>
    </w:tbl>
    <w:p>
      <w:pPr>
        <w:pStyle w:val="BodyText"/>
      </w:pPr>
      <w:r>
        <w:rPr>
          <w:bCs/>
          <w:b/>
        </w:rPr>
        <w:t xml:space="preserve">Decision (to be written after the test, honouring the threshold even if it hurts):</w:t>
      </w:r>
      <w:r>
        <w:t xml:space="preserve"> </w:t>
      </w:r>
      <w:r>
        <w:t xml:space="preserve">PERSEVERE / REDESIGN / PIVOT / KILL — ______________________</w:t>
      </w:r>
    </w:p>
    <w:bookmarkEnd w:id="54"/>
    <w:bookmarkEnd w:id="55"/>
    <w:bookmarkStart w:id="61" w:name="M2.3"/>
    <w:p>
      <w:pPr>
        <w:pStyle w:val="BodyText"/>
      </w:pPr>
      <w:r>
        <w:t xml:space="preserve">M2 · Activity 3 · Mandatory Model M2.3</w:t>
      </w:r>
    </w:p>
    <w:bookmarkStart w:id="56" w:name="pricing-margin-funnel-performance-pack"/>
    <w:p>
      <w:pPr>
        <w:pStyle w:val="Heading1"/>
      </w:pPr>
      <w:r>
        <w:t xml:space="preserve">Pricing, Margin &amp; Funnel Performance Pack</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2</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56"/>
    <w:bookmarkStart w:id="57" w:name="two-candidate-prices-for-tremosense"/>
    <w:p>
      <w:pPr>
        <w:pStyle w:val="Heading2"/>
      </w:pPr>
      <w:r>
        <w:t xml:space="preserve">1. Two candidate prices for TremoSense</w:t>
      </w:r>
    </w:p>
    <w:tbl>
      <w:tblPr>
        <w:tblStyle w:val="Table"/>
        <w:tblW w:type="pct" w:w="5000"/>
        <w:tblLook w:firstRow="1" w:lastRow="0" w:firstColumn="0" w:lastColumn="0" w:noHBand="0" w:noVBand="0" w:val="0020"/>
        <w:jc w:val="start"/>
      </w:tblPr>
      <w:tblGrid>
        <w:gridCol w:w="2376"/>
        <w:gridCol w:w="2772"/>
        <w:gridCol w:w="2772"/>
      </w:tblGrid>
      <w:tr>
        <w:trPr>
          <w:tblHeader w:val="true"/>
        </w:trPr>
        <w:tc>
          <w:tcPr/>
          <w:p>
            <w:pPr>
              <w:pStyle w:val="Compact"/>
            </w:pPr>
          </w:p>
        </w:tc>
        <w:tc>
          <w:tcPr/>
          <w:p>
            <w:pPr>
              <w:pStyle w:val="Compact"/>
              <w:jc w:val="left"/>
            </w:pPr>
            <w:r>
              <w:t xml:space="preserve">Price 1: ₹9,999 (value-based, launch)</w:t>
            </w:r>
          </w:p>
        </w:tc>
        <w:tc>
          <w:tcPr/>
          <w:p>
            <w:pPr>
              <w:pStyle w:val="Compact"/>
              <w:jc w:val="left"/>
            </w:pPr>
            <w:r>
              <w:t xml:space="preserve">Price 2: ₹8,999 (cost-plus after cost reduction)</w:t>
            </w:r>
          </w:p>
        </w:tc>
      </w:tr>
      <w:tr>
        <w:tc>
          <w:tcPr/>
          <w:p>
            <w:pPr>
              <w:pStyle w:val="Compact"/>
              <w:jc w:val="left"/>
            </w:pPr>
            <w:r>
              <w:t xml:space="preserve">Rationale</w:t>
            </w:r>
          </w:p>
        </w:tc>
        <w:tc>
          <w:tcPr/>
          <w:p>
            <w:pPr>
              <w:pStyle w:val="Compact"/>
              <w:jc w:val="left"/>
            </w:pPr>
            <w:r>
              <w:t xml:space="preserve">Lowest price with LTV:CAC above 3× at small-batch cost; ≈¼ of the cheapest imported active spoon (₹35,980)</w:t>
            </w:r>
          </w:p>
        </w:tc>
        <w:tc>
          <w:tcPr/>
          <w:p>
            <w:pPr>
              <w:pStyle w:val="Compact"/>
              <w:jc w:val="left"/>
            </w:pPr>
            <w:r>
              <w:t xml:space="preserve">Cost-plus once tooling and supplier quotes bring COGS to ₹2,720 (Scenario C, from M19)</w:t>
            </w:r>
          </w:p>
        </w:tc>
      </w:tr>
      <w:tr>
        <w:tc>
          <w:tcPr/>
          <w:p>
            <w:pPr>
              <w:pStyle w:val="Compact"/>
              <w:jc w:val="left"/>
            </w:pPr>
            <w:r>
              <w:t xml:space="preserve">Price ex-GST (÷ 1.05)</w:t>
            </w:r>
          </w:p>
        </w:tc>
        <w:tc>
          <w:tcPr/>
          <w:p>
            <w:pPr>
              <w:pStyle w:val="Compact"/>
              <w:jc w:val="left"/>
            </w:pPr>
            <w:r>
              <w:t xml:space="preserve">₹9,523</w:t>
            </w:r>
          </w:p>
        </w:tc>
        <w:tc>
          <w:tcPr/>
          <w:p>
            <w:pPr>
              <w:pStyle w:val="Compact"/>
              <w:jc w:val="left"/>
            </w:pPr>
            <w:r>
              <w:t xml:space="preserve">₹8,570 at B · ₹8,570 at C</w:t>
            </w:r>
          </w:p>
        </w:tc>
      </w:tr>
      <w:tr>
        <w:tc>
          <w:tcPr/>
          <w:p>
            <w:pPr>
              <w:pStyle w:val="Compact"/>
              <w:jc w:val="left"/>
            </w:pPr>
            <w:r>
              <w:t xml:space="preserve">Clinic margin 15%</w:t>
            </w:r>
          </w:p>
        </w:tc>
        <w:tc>
          <w:tcPr/>
          <w:p>
            <w:pPr>
              <w:pStyle w:val="Compact"/>
              <w:jc w:val="left"/>
            </w:pPr>
            <w:r>
              <w:t xml:space="preserve">₹1,428</w:t>
            </w:r>
          </w:p>
        </w:tc>
        <w:tc>
          <w:tcPr/>
          <w:p>
            <w:pPr>
              <w:pStyle w:val="Compact"/>
              <w:jc w:val="left"/>
            </w:pPr>
            <w:r>
              <w:t xml:space="preserve">₹1,286 at B · ₹1,286 at C</w:t>
            </w:r>
          </w:p>
        </w:tc>
      </w:tr>
      <w:tr>
        <w:tc>
          <w:tcPr/>
          <w:p>
            <w:pPr>
              <w:pStyle w:val="Compact"/>
              <w:jc w:val="left"/>
            </w:pPr>
            <w:r>
              <w:t xml:space="preserve">Net revenue</w:t>
            </w:r>
          </w:p>
        </w:tc>
        <w:tc>
          <w:tcPr/>
          <w:p>
            <w:pPr>
              <w:pStyle w:val="Compact"/>
              <w:jc w:val="left"/>
            </w:pPr>
            <w:r>
              <w:t xml:space="preserve">₹8,094</w:t>
            </w:r>
          </w:p>
        </w:tc>
        <w:tc>
          <w:tcPr/>
          <w:p>
            <w:pPr>
              <w:pStyle w:val="Compact"/>
              <w:jc w:val="left"/>
            </w:pPr>
            <w:r>
              <w:t xml:space="preserve">₹7,285 at B · ₹7,285 at C</w:t>
            </w:r>
          </w:p>
        </w:tc>
      </w:tr>
      <w:tr>
        <w:tc>
          <w:tcPr/>
          <w:p>
            <w:pPr>
              <w:pStyle w:val="Compact"/>
              <w:jc w:val="left"/>
            </w:pPr>
            <w:r>
              <w:t xml:space="preserve">COGS</w:t>
            </w:r>
          </w:p>
        </w:tc>
        <w:tc>
          <w:tcPr/>
          <w:p>
            <w:pPr>
              <w:pStyle w:val="Compact"/>
              <w:jc w:val="left"/>
            </w:pPr>
            <w:r>
              <w:t xml:space="preserve">₹4,830</w:t>
            </w:r>
          </w:p>
        </w:tc>
        <w:tc>
          <w:tcPr/>
          <w:p>
            <w:pPr>
              <w:pStyle w:val="Compact"/>
              <w:jc w:val="left"/>
            </w:pPr>
            <w:r>
              <w:t xml:space="preserve">₹4,830 at B · ₹2,720 at C</w:t>
            </w:r>
          </w:p>
        </w:tc>
      </w:tr>
      <w:tr>
        <w:tc>
          <w:tcPr/>
          <w:p>
            <w:pPr>
              <w:pStyle w:val="Compact"/>
              <w:jc w:val="left"/>
            </w:pPr>
            <w:r>
              <w:t xml:space="preserve">Warranty 5%</w:t>
            </w:r>
          </w:p>
        </w:tc>
        <w:tc>
          <w:tcPr/>
          <w:p>
            <w:pPr>
              <w:pStyle w:val="Compact"/>
              <w:jc w:val="left"/>
            </w:pPr>
            <w:r>
              <w:t xml:space="preserve">₹476</w:t>
            </w:r>
          </w:p>
        </w:tc>
        <w:tc>
          <w:tcPr/>
          <w:p>
            <w:pPr>
              <w:pStyle w:val="Compact"/>
              <w:jc w:val="left"/>
            </w:pPr>
            <w:r>
              <w:t xml:space="preserve">₹429 at B · ₹429 at C</w:t>
            </w:r>
          </w:p>
        </w:tc>
      </w:tr>
      <w:tr>
        <w:tc>
          <w:tcPr/>
          <w:p>
            <w:pPr>
              <w:pStyle w:val="Compact"/>
              <w:jc w:val="left"/>
            </w:pPr>
            <w:r>
              <w:t xml:space="preserve">Fulfilment</w:t>
            </w:r>
          </w:p>
        </w:tc>
        <w:tc>
          <w:tcPr/>
          <w:p>
            <w:pPr>
              <w:pStyle w:val="Compact"/>
              <w:jc w:val="left"/>
            </w:pPr>
            <w:r>
              <w:t xml:space="preserve">₹250</w:t>
            </w:r>
          </w:p>
        </w:tc>
        <w:tc>
          <w:tcPr/>
          <w:p>
            <w:pPr>
              <w:pStyle w:val="Compact"/>
              <w:jc w:val="left"/>
            </w:pPr>
            <w:r>
              <w:t xml:space="preserve">₹250</w:t>
            </w:r>
          </w:p>
        </w:tc>
      </w:tr>
      <w:tr>
        <w:tc>
          <w:tcPr/>
          <w:p>
            <w:pPr>
              <w:pStyle w:val="Compact"/>
              <w:jc w:val="left"/>
            </w:pPr>
            <w:r>
              <w:rPr>
                <w:bCs/>
                <w:b/>
              </w:rPr>
              <w:t xml:space="preserve">Contribution per unit</w:t>
            </w:r>
          </w:p>
        </w:tc>
        <w:tc>
          <w:tcPr/>
          <w:p>
            <w:pPr>
              <w:pStyle w:val="Compact"/>
              <w:jc w:val="left"/>
            </w:pPr>
            <w:r>
              <w:rPr>
                <w:bCs/>
                <w:b/>
              </w:rPr>
              <w:t xml:space="preserve">₹2,538 (31.4%)</w:t>
            </w:r>
          </w:p>
        </w:tc>
        <w:tc>
          <w:tcPr/>
          <w:p>
            <w:pPr>
              <w:pStyle w:val="Compact"/>
              <w:jc w:val="left"/>
            </w:pPr>
            <w:r>
              <w:rPr>
                <w:bCs/>
                <w:b/>
              </w:rPr>
              <w:t xml:space="preserve">₹1,776 (24.4%) at B · ₹3,886 (53.3%) at C</w:t>
            </w:r>
          </w:p>
        </w:tc>
      </w:tr>
    </w:tbl>
    <w:p>
      <w:pPr>
        <w:pStyle w:val="BodyText"/>
      </w:pPr>
      <w:r>
        <w:t xml:space="preserve">Contribution margin = selling price − all variable costs of one unit (GST is collected for the government and excluded). Source: Price Matrix and TremoSense Costs sheets. ParkinSense at ₹7,999: net ₹6,101 − COGS ₹3,530 − warranty − shipping = ₹1,982 (32.5%).</w:t>
      </w:r>
    </w:p>
    <w:bookmarkEnd w:id="57"/>
    <w:bookmarkStart w:id="58" w:name="X22a752e5b52ffeafd87719dbb6743750a540c54"/>
    <w:p>
      <w:pPr>
        <w:pStyle w:val="Heading2"/>
      </w:pPr>
      <w:r>
        <w:t xml:space="preserve">2. Funnel (AARRR) — assumed targets, not measured</w:t>
      </w:r>
    </w:p>
    <w:tbl>
      <w:tblPr>
        <w:tblStyle w:val="Table"/>
        <w:tblW w:type="pct" w:w="5000"/>
        <w:tblLook w:firstRow="1" w:lastRow="0" w:firstColumn="0" w:lastColumn="0" w:noHBand="0" w:noVBand="0" w:val="0020"/>
        <w:jc w:val="start"/>
      </w:tblPr>
      <w:tblGrid>
        <w:gridCol w:w="1584"/>
        <w:gridCol w:w="1900"/>
        <w:gridCol w:w="1267"/>
        <w:gridCol w:w="1900"/>
        <w:gridCol w:w="1267"/>
      </w:tblGrid>
      <w:tr>
        <w:trPr>
          <w:tblHeader w:val="true"/>
        </w:trPr>
        <w:tc>
          <w:tcPr/>
          <w:p>
            <w:pPr>
              <w:pStyle w:val="Compact"/>
              <w:jc w:val="left"/>
            </w:pPr>
            <w:r>
              <w:t xml:space="preserve">Stage</w:t>
            </w:r>
          </w:p>
        </w:tc>
        <w:tc>
          <w:tcPr/>
          <w:p>
            <w:pPr>
              <w:pStyle w:val="Compact"/>
              <w:jc w:val="left"/>
            </w:pPr>
            <w:r>
              <w:t xml:space="preserve">Assumed target</w:t>
            </w:r>
          </w:p>
        </w:tc>
        <w:tc>
          <w:tcPr/>
          <w:p>
            <w:pPr>
              <w:pStyle w:val="Compact"/>
              <w:jc w:val="left"/>
            </w:pPr>
            <w:r>
              <w:t xml:space="preserve">Count (per 1,000 reached)</w:t>
            </w:r>
          </w:p>
        </w:tc>
        <w:tc>
          <w:tcPr/>
          <w:p>
            <w:pPr>
              <w:pStyle w:val="Compact"/>
              <w:jc w:val="left"/>
            </w:pPr>
            <w:r>
              <w:t xml:space="preserve">Conversion formula</w:t>
            </w:r>
          </w:p>
        </w:tc>
        <w:tc>
          <w:tcPr/>
          <w:p>
            <w:pPr>
              <w:pStyle w:val="Compact"/>
              <w:jc w:val="left"/>
            </w:pPr>
            <w:r>
              <w:t xml:space="preserve">Measured (fill in)</w:t>
            </w:r>
          </w:p>
        </w:tc>
      </w:tr>
      <w:tr>
        <w:tc>
          <w:tcPr/>
          <w:p>
            <w:pPr>
              <w:pStyle w:val="Compact"/>
              <w:jc w:val="left"/>
            </w:pPr>
            <w:r>
              <w:t xml:space="preserve">Reach (Acquisition)</w:t>
            </w:r>
          </w:p>
        </w:tc>
        <w:tc>
          <w:tcPr/>
          <w:p>
            <w:pPr>
              <w:pStyle w:val="Compact"/>
              <w:jc w:val="left"/>
            </w:pPr>
            <w:r>
              <w:t xml:space="preserve">1,000 caregivers via 10 clinics</w:t>
            </w:r>
          </w:p>
        </w:tc>
        <w:tc>
          <w:tcPr/>
          <w:p>
            <w:pPr>
              <w:pStyle w:val="Compact"/>
              <w:jc w:val="left"/>
            </w:pPr>
            <w:r>
              <w:t xml:space="preserve">1,000</w:t>
            </w:r>
          </w:p>
        </w:tc>
        <w:tc>
          <w:tcPr/>
          <w:p>
            <w:pPr>
              <w:pStyle w:val="Compact"/>
              <w:jc w:val="left"/>
            </w:pPr>
            <w:r>
              <w:t xml:space="preserve">—</w:t>
            </w:r>
          </w:p>
        </w:tc>
        <w:tc>
          <w:tcPr/>
          <w:p>
            <w:pPr>
              <w:pStyle w:val="Compact"/>
            </w:pPr>
          </w:p>
        </w:tc>
      </w:tr>
      <w:tr>
        <w:tc>
          <w:tcPr/>
          <w:p>
            <w:pPr>
              <w:pStyle w:val="Compact"/>
              <w:jc w:val="left"/>
            </w:pPr>
            <w:r>
              <w:t xml:space="preserve">Enquiry / trial (Activation)</w:t>
            </w:r>
          </w:p>
        </w:tc>
        <w:tc>
          <w:tcPr/>
          <w:p>
            <w:pPr>
              <w:pStyle w:val="Compact"/>
              <w:jc w:val="left"/>
            </w:pPr>
            <w:r>
              <w:t xml:space="preserve">25% try it in clinic</w:t>
            </w:r>
          </w:p>
        </w:tc>
        <w:tc>
          <w:tcPr/>
          <w:p>
            <w:pPr>
              <w:pStyle w:val="Compact"/>
              <w:jc w:val="left"/>
            </w:pPr>
            <w:r>
              <w:t xml:space="preserve">250</w:t>
            </w:r>
          </w:p>
        </w:tc>
        <w:tc>
          <w:tcPr/>
          <w:p>
            <w:pPr>
              <w:pStyle w:val="Compact"/>
              <w:jc w:val="left"/>
            </w:pPr>
            <w:r>
              <w:t xml:space="preserve">trials ÷ reached</w:t>
            </w:r>
          </w:p>
        </w:tc>
        <w:tc>
          <w:tcPr/>
          <w:p>
            <w:pPr>
              <w:pStyle w:val="Compact"/>
            </w:pPr>
          </w:p>
        </w:tc>
      </w:tr>
      <w:tr>
        <w:tc>
          <w:tcPr/>
          <w:p>
            <w:pPr>
              <w:pStyle w:val="Compact"/>
              <w:jc w:val="left"/>
            </w:pPr>
            <w:r>
              <w:t xml:space="preserve">Purchase (Revenue)</w:t>
            </w:r>
          </w:p>
        </w:tc>
        <w:tc>
          <w:tcPr/>
          <w:p>
            <w:pPr>
              <w:pStyle w:val="Compact"/>
              <w:jc w:val="left"/>
            </w:pPr>
            <w:r>
              <w:t xml:space="preserve">40% of trials buy</w:t>
            </w:r>
          </w:p>
        </w:tc>
        <w:tc>
          <w:tcPr/>
          <w:p>
            <w:pPr>
              <w:pStyle w:val="Compact"/>
              <w:jc w:val="left"/>
            </w:pPr>
            <w:r>
              <w:t xml:space="preserve">100</w:t>
            </w:r>
          </w:p>
        </w:tc>
        <w:tc>
          <w:tcPr/>
          <w:p>
            <w:pPr>
              <w:pStyle w:val="Compact"/>
              <w:jc w:val="left"/>
            </w:pPr>
            <w:r>
              <w:t xml:space="preserve">buyers ÷ trials; overall = buyers ÷ reached = 10%</w:t>
            </w:r>
          </w:p>
        </w:tc>
        <w:tc>
          <w:tcPr/>
          <w:p>
            <w:pPr>
              <w:pStyle w:val="Compact"/>
            </w:pPr>
          </w:p>
        </w:tc>
      </w:tr>
      <w:tr>
        <w:tc>
          <w:tcPr/>
          <w:p>
            <w:pPr>
              <w:pStyle w:val="Compact"/>
              <w:jc w:val="left"/>
            </w:pPr>
            <w:r>
              <w:t xml:space="preserve">Retention</w:t>
            </w:r>
          </w:p>
        </w:tc>
        <w:tc>
          <w:tcPr/>
          <w:p>
            <w:pPr>
              <w:pStyle w:val="Compact"/>
              <w:jc w:val="left"/>
            </w:pPr>
            <w:r>
              <w:t xml:space="preserve">≥70% daily use at day 30</w:t>
            </w:r>
          </w:p>
        </w:tc>
        <w:tc>
          <w:tcPr/>
          <w:p>
            <w:pPr>
              <w:pStyle w:val="Compact"/>
              <w:jc w:val="left"/>
            </w:pPr>
            <w:r>
              <w:t xml:space="preserve">70</w:t>
            </w:r>
          </w:p>
        </w:tc>
        <w:tc>
          <w:tcPr/>
          <w:p>
            <w:pPr>
              <w:pStyle w:val="Compact"/>
              <w:jc w:val="left"/>
            </w:pPr>
            <w:r>
              <w:t xml:space="preserve">active at day 30 ÷ buyers</w:t>
            </w:r>
          </w:p>
        </w:tc>
        <w:tc>
          <w:tcPr/>
          <w:p>
            <w:pPr>
              <w:pStyle w:val="Compact"/>
            </w:pPr>
          </w:p>
        </w:tc>
      </w:tr>
      <w:tr>
        <w:tc>
          <w:tcPr/>
          <w:p>
            <w:pPr>
              <w:pStyle w:val="Compact"/>
              <w:jc w:val="left"/>
            </w:pPr>
            <w:r>
              <w:t xml:space="preserve">Referral</w:t>
            </w:r>
          </w:p>
        </w:tc>
        <w:tc>
          <w:tcPr/>
          <w:p>
            <w:pPr>
              <w:pStyle w:val="Compact"/>
              <w:jc w:val="left"/>
            </w:pPr>
            <w:r>
              <w:t xml:space="preserve">15% refer another family</w:t>
            </w:r>
          </w:p>
        </w:tc>
        <w:tc>
          <w:tcPr/>
          <w:p>
            <w:pPr>
              <w:pStyle w:val="Compact"/>
              <w:jc w:val="left"/>
            </w:pPr>
            <w:r>
              <w:t xml:space="preserve">15</w:t>
            </w:r>
          </w:p>
        </w:tc>
        <w:tc>
          <w:tcPr/>
          <w:p>
            <w:pPr>
              <w:pStyle w:val="Compact"/>
              <w:jc w:val="left"/>
            </w:pPr>
            <w:r>
              <w:t xml:space="preserve">referrers ÷ buyers</w:t>
            </w:r>
          </w:p>
        </w:tc>
        <w:tc>
          <w:tcPr/>
          <w:p>
            <w:pPr>
              <w:pStyle w:val="Compact"/>
            </w:pPr>
          </w:p>
        </w:tc>
      </w:tr>
    </w:tbl>
    <w:p>
      <w:pPr>
        <w:pStyle w:val="BodyText"/>
      </w:pPr>
      <w:r>
        <w:t xml:space="preserve">No real sale or preorder exists yet. Proof of a first sale or credible preorder (receipt, message, payment screenshot) must be attached here when it happens. Until then this part is</w:t>
      </w:r>
      <w:r>
        <w:t xml:space="preserve"> </w:t>
      </w:r>
      <w:r>
        <w:rPr>
          <w:bCs/>
          <w:b/>
        </w:rPr>
        <w:t xml:space="preserve">awaiting evidence</w:t>
      </w:r>
      <w:r>
        <w:t xml:space="preserve">.</w:t>
      </w:r>
    </w:p>
    <w:bookmarkEnd w:id="58"/>
    <w:bookmarkStart w:id="59" w:name="Xfec0fca339327d36748e8d64b7637f49d8bf78a"/>
    <w:p>
      <w:pPr>
        <w:pStyle w:val="Heading2"/>
      </w:pPr>
      <w:r>
        <w:t xml:space="preserve">3. Plan to collect real willingness-to-pay evidence</w:t>
      </w:r>
    </w:p>
    <w:p>
      <w:pPr>
        <w:numPr>
          <w:ilvl w:val="0"/>
          <w:numId w:val="1002"/>
        </w:numPr>
        <w:pStyle w:val="Compact"/>
      </w:pPr>
      <w:r>
        <w:t xml:space="preserve">During the M6 user study, ask each participant a Van Westendorp price ladder (too cheap / bargain / getting expensive / too expensive) and record exact answers.</w:t>
      </w:r>
    </w:p>
    <w:p>
      <w:pPr>
        <w:numPr>
          <w:ilvl w:val="0"/>
          <w:numId w:val="1002"/>
        </w:numPr>
        <w:pStyle w:val="Compact"/>
      </w:pPr>
      <w:r>
        <w:t xml:space="preserve">Offer a refundable ₹1,000 preorder deposit at ₹9,999 to participants and caregivers after the session; count deposits, not compliments.</w:t>
      </w:r>
    </w:p>
    <w:p>
      <w:pPr>
        <w:numPr>
          <w:ilvl w:val="0"/>
          <w:numId w:val="1002"/>
        </w:numPr>
        <w:pStyle w:val="Compact"/>
      </w:pPr>
      <w:r>
        <w:t xml:space="preserve">At two clinics, show ₹9,999 and at two others ₹8,999 (A/B by clinic) and record enquiry → trial → deposit conversion.</w:t>
      </w:r>
    </w:p>
    <w:bookmarkEnd w:id="59"/>
    <w:bookmarkStart w:id="60" w:name="ip-note-legalip-basics"/>
    <w:p>
      <w:pPr>
        <w:pStyle w:val="Heading2"/>
      </w:pPr>
      <w:r>
        <w:t xml:space="preserve">4. IP note (Legal/IP basics)</w:t>
      </w:r>
    </w:p>
    <w:p>
      <w:pPr>
        <w:pStyle w:val="FirstParagraph"/>
      </w:pPr>
      <w:r>
        <w:rPr>
          <w:bCs/>
          <w:b/>
        </w:rPr>
        <w:t xml:space="preserve">Patent:</w:t>
      </w:r>
      <w:r>
        <w:t xml:space="preserve"> </w:t>
      </w:r>
      <w:r>
        <w:t xml:space="preserve">a provisional patent filing is</w:t>
      </w:r>
      <w:r>
        <w:t xml:space="preserve"> </w:t>
      </w:r>
      <w:r>
        <w:rPr>
          <w:iCs/>
          <w:i/>
        </w:rPr>
        <w:t xml:space="preserve">planned</w:t>
      </w:r>
      <w:r>
        <w:t xml:space="preserve"> </w:t>
      </w:r>
      <w:r>
        <w:t xml:space="preserve">for M2 (not filed) covering the stabilisation control arrangement.</w:t>
      </w:r>
      <w:r>
        <w:t xml:space="preserve"> </w:t>
      </w:r>
      <w:r>
        <w:rPr>
          <w:bCs/>
          <w:b/>
        </w:rPr>
        <w:t xml:space="preserve">Trademark:</w:t>
      </w:r>
      <w:r>
        <w:t xml:space="preserve"> </w:t>
      </w:r>
      <w:r>
        <w:t xml:space="preserve">“AVERRA”, “ParkinSense” and “TremoSense” should be searched and filed (Class 10 medical devices, Class 9 software).</w:t>
      </w:r>
      <w:r>
        <w:t xml:space="preserve"> </w:t>
      </w:r>
      <w:r>
        <w:rPr>
          <w:bCs/>
          <w:b/>
        </w:rPr>
        <w:t xml:space="preserve">Copyright:</w:t>
      </w:r>
      <w:r>
        <w:t xml:space="preserve"> </w:t>
      </w:r>
      <w:r>
        <w:t xml:space="preserve">firmware, dashboard code and documentation are protected automatically; record authorship and inventor assignments to the company before any filing.</w:t>
      </w:r>
    </w:p>
    <w:bookmarkEnd w:id="60"/>
    <w:bookmarkEnd w:id="61"/>
    <w:bookmarkStart w:id="67" w:name="M3.1"/>
    <w:p>
      <w:pPr>
        <w:pStyle w:val="BodyText"/>
      </w:pPr>
      <w:r>
        <w:t xml:space="preserve">M3 · Activity 1 · Mandatory Model M3.1</w:t>
      </w:r>
    </w:p>
    <w:bookmarkStart w:id="62" w:name="X6a05c982e519df003f935d988bc8b3df410ebb8"/>
    <w:p>
      <w:pPr>
        <w:pStyle w:val="Heading1"/>
      </w:pPr>
      <w:r>
        <w:t xml:space="preserve">Operating System &amp; Delivery-Process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Planned – protocol ready, not yet run</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62"/>
    <w:p>
      <w:pPr>
        <w:pStyle w:val="BodyText"/>
      </w:pPr>
      <w:r>
        <w:t xml:space="preserve">All times below are</w:t>
      </w:r>
      <w:r>
        <w:t xml:space="preserve"> </w:t>
      </w:r>
      <w:r>
        <w:rPr>
          <w:bCs/>
          <w:b/>
        </w:rPr>
        <w:t xml:space="preserve">estimates</w:t>
      </w:r>
      <w:r>
        <w:t xml:space="preserve"> </w:t>
      </w:r>
      <w:r>
        <w:t xml:space="preserve">for a 100-unit pilot batch; none has been measured yet. Measure each step on the first pilot batch and replace the estimate.</w:t>
      </w:r>
    </w:p>
    <w:bookmarkStart w:id="63" w:name="tremosense-order-to-support"/>
    <w:p>
      <w:pPr>
        <w:pStyle w:val="Heading2"/>
      </w:pPr>
      <w:r>
        <w:t xml:space="preserve">1. TremoSense: order to support</w:t>
      </w:r>
    </w:p>
    <w:tbl>
      <w:tblPr>
        <w:tblStyle w:val="Table"/>
        <w:tblW w:type="pct" w:w="5000"/>
        <w:tblLook w:firstRow="1" w:lastRow="0" w:firstColumn="0" w:lastColumn="0" w:noHBand="0" w:noVBand="0" w:val="0020"/>
        <w:jc w:val="start"/>
      </w:tblPr>
      <w:tblGrid>
        <w:gridCol w:w="396"/>
        <w:gridCol w:w="4356"/>
        <w:gridCol w:w="1742"/>
        <w:gridCol w:w="1425"/>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Owner</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Clinic/OT referral → in-clinic trial booked</w:t>
            </w:r>
          </w:p>
        </w:tc>
        <w:tc>
          <w:tcPr/>
          <w:p>
            <w:pPr>
              <w:pStyle w:val="Compact"/>
              <w:jc w:val="left"/>
            </w:pPr>
            <w:r>
              <w:t xml:space="preserve">Clinic + AVERRA</w:t>
            </w:r>
          </w:p>
        </w:tc>
        <w:tc>
          <w:tcPr/>
          <w:p>
            <w:pPr>
              <w:pStyle w:val="Compact"/>
              <w:jc w:val="left"/>
            </w:pPr>
            <w:r>
              <w:t xml:space="preserve">1–3 days</w:t>
            </w:r>
          </w:p>
        </w:tc>
      </w:tr>
      <w:tr>
        <w:tc>
          <w:tcPr/>
          <w:p>
            <w:pPr>
              <w:pStyle w:val="Compact"/>
              <w:jc w:val="left"/>
            </w:pPr>
            <w:r>
              <w:t xml:space="preserve">2</w:t>
            </w:r>
          </w:p>
        </w:tc>
        <w:tc>
          <w:tcPr/>
          <w:p>
            <w:pPr>
              <w:pStyle w:val="Compact"/>
              <w:jc w:val="left"/>
            </w:pPr>
            <w:r>
              <w:t xml:space="preserve">Trial session and order (sale or rental)</w:t>
            </w:r>
          </w:p>
        </w:tc>
        <w:tc>
          <w:tcPr/>
          <w:p>
            <w:pPr>
              <w:pStyle w:val="Compact"/>
              <w:jc w:val="left"/>
            </w:pPr>
            <w:r>
              <w:t xml:space="preserve">Clinic staff</w:t>
            </w:r>
          </w:p>
        </w:tc>
        <w:tc>
          <w:tcPr/>
          <w:p>
            <w:pPr>
              <w:pStyle w:val="Compact"/>
              <w:jc w:val="left"/>
            </w:pPr>
            <w:r>
              <w:t xml:space="preserve">30 min</w:t>
            </w:r>
          </w:p>
        </w:tc>
      </w:tr>
      <w:tr>
        <w:tc>
          <w:tcPr/>
          <w:p>
            <w:pPr>
              <w:pStyle w:val="Compact"/>
              <w:jc w:val="left"/>
            </w:pPr>
            <w:r>
              <w:t xml:space="preserve">3</w:t>
            </w:r>
          </w:p>
        </w:tc>
        <w:tc>
          <w:tcPr/>
          <w:p>
            <w:pPr>
              <w:pStyle w:val="Compact"/>
              <w:jc w:val="left"/>
            </w:pPr>
            <w:r>
              <w:t xml:space="preserve">Pick sub-assemblies from stock</w:t>
            </w:r>
          </w:p>
        </w:tc>
        <w:tc>
          <w:tcPr/>
          <w:p>
            <w:pPr>
              <w:pStyle w:val="Compact"/>
              <w:jc w:val="left"/>
            </w:pPr>
            <w:r>
              <w:t xml:space="preserve">Operations</w:t>
            </w:r>
          </w:p>
        </w:tc>
        <w:tc>
          <w:tcPr/>
          <w:p>
            <w:pPr>
              <w:pStyle w:val="Compact"/>
              <w:jc w:val="left"/>
            </w:pPr>
            <w:r>
              <w:t xml:space="preserve">10 min</w:t>
            </w:r>
          </w:p>
        </w:tc>
      </w:tr>
      <w:tr>
        <w:tc>
          <w:tcPr/>
          <w:p>
            <w:pPr>
              <w:pStyle w:val="Compact"/>
              <w:jc w:val="left"/>
            </w:pPr>
            <w:r>
              <w:t xml:space="preserve">4</w:t>
            </w:r>
          </w:p>
        </w:tc>
        <w:tc>
          <w:tcPr/>
          <w:p>
            <w:pPr>
              <w:pStyle w:val="Compact"/>
              <w:jc w:val="left"/>
            </w:pPr>
            <w:r>
              <w:t xml:space="preserve">Final assembly (gimbal, servos, battery)</w:t>
            </w:r>
          </w:p>
        </w:tc>
        <w:tc>
          <w:tcPr/>
          <w:p>
            <w:pPr>
              <w:pStyle w:val="Compact"/>
              <w:jc w:val="left"/>
            </w:pPr>
            <w:r>
              <w:t xml:space="preserve">Contract assembler</w:t>
            </w:r>
          </w:p>
        </w:tc>
        <w:tc>
          <w:tcPr/>
          <w:p>
            <w:pPr>
              <w:pStyle w:val="Compact"/>
              <w:jc w:val="left"/>
            </w:pPr>
            <w:r>
              <w:t xml:space="preserve">40 min</w:t>
            </w:r>
          </w:p>
        </w:tc>
      </w:tr>
      <w:tr>
        <w:tc>
          <w:tcPr/>
          <w:p>
            <w:pPr>
              <w:pStyle w:val="Compact"/>
              <w:jc w:val="left"/>
            </w:pPr>
            <w:r>
              <w:t xml:space="preserve">5</w:t>
            </w:r>
          </w:p>
        </w:tc>
        <w:tc>
          <w:tcPr/>
          <w:p>
            <w:pPr>
              <w:pStyle w:val="Compact"/>
              <w:jc w:val="left"/>
            </w:pPr>
            <w:r>
              <w:rPr>
                <w:bCs/>
                <w:b/>
              </w:rPr>
              <w:t xml:space="preserve">Servo calibration + tremor-rejection test on the simulator rig</w:t>
            </w:r>
          </w:p>
        </w:tc>
        <w:tc>
          <w:tcPr/>
          <w:p>
            <w:pPr>
              <w:pStyle w:val="Compact"/>
              <w:jc w:val="left"/>
            </w:pPr>
            <w:r>
              <w:t xml:space="preserve">Founders (hardware &amp; test)</w:t>
            </w:r>
          </w:p>
        </w:tc>
        <w:tc>
          <w:tcPr/>
          <w:p>
            <w:pPr>
              <w:pStyle w:val="Compact"/>
              <w:jc w:val="left"/>
            </w:pPr>
            <w:r>
              <w:rPr>
                <w:bCs/>
                <w:b/>
              </w:rPr>
              <w:t xml:space="preserve">45 min per unit</w:t>
            </w:r>
          </w:p>
        </w:tc>
      </w:tr>
      <w:tr>
        <w:tc>
          <w:tcPr/>
          <w:p>
            <w:pPr>
              <w:pStyle w:val="Compact"/>
              <w:jc w:val="left"/>
            </w:pPr>
            <w:r>
              <w:t xml:space="preserve">6</w:t>
            </w:r>
          </w:p>
        </w:tc>
        <w:tc>
          <w:tcPr/>
          <w:p>
            <w:pPr>
              <w:pStyle w:val="Compact"/>
              <w:jc w:val="left"/>
            </w:pPr>
            <w:r>
              <w:t xml:space="preserve">Safety check, cleaning of food-contact head, packing</w:t>
            </w:r>
          </w:p>
        </w:tc>
        <w:tc>
          <w:tcPr/>
          <w:p>
            <w:pPr>
              <w:pStyle w:val="Compact"/>
              <w:jc w:val="left"/>
            </w:pPr>
            <w:r>
              <w:t xml:space="preserve">Operations</w:t>
            </w:r>
          </w:p>
        </w:tc>
        <w:tc>
          <w:tcPr/>
          <w:p>
            <w:pPr>
              <w:pStyle w:val="Compact"/>
              <w:jc w:val="left"/>
            </w:pPr>
            <w:r>
              <w:t xml:space="preserve">15 min</w:t>
            </w:r>
          </w:p>
        </w:tc>
      </w:tr>
      <w:tr>
        <w:tc>
          <w:tcPr/>
          <w:p>
            <w:pPr>
              <w:pStyle w:val="Compact"/>
              <w:jc w:val="left"/>
            </w:pPr>
            <w:r>
              <w:t xml:space="preserve">7</w:t>
            </w:r>
          </w:p>
        </w:tc>
        <w:tc>
          <w:tcPr/>
          <w:p>
            <w:pPr>
              <w:pStyle w:val="Compact"/>
              <w:jc w:val="left"/>
            </w:pPr>
            <w:r>
              <w:t xml:space="preserve">Courier to home or clinic</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8</w:t>
            </w:r>
          </w:p>
        </w:tc>
        <w:tc>
          <w:tcPr/>
          <w:p>
            <w:pPr>
              <w:pStyle w:val="Compact"/>
              <w:jc w:val="left"/>
            </w:pPr>
            <w:r>
              <w:t xml:space="preserve">Onboarding call with caregiver; 7-day check-in</w:t>
            </w:r>
          </w:p>
        </w:tc>
        <w:tc>
          <w:tcPr/>
          <w:p>
            <w:pPr>
              <w:pStyle w:val="Compact"/>
              <w:jc w:val="left"/>
            </w:pPr>
            <w:r>
              <w:t xml:space="preserve">Support</w:t>
            </w:r>
          </w:p>
        </w:tc>
        <w:tc>
          <w:tcPr/>
          <w:p>
            <w:pPr>
              <w:pStyle w:val="Compact"/>
              <w:jc w:val="left"/>
            </w:pPr>
            <w:r>
              <w:t xml:space="preserve">20 min + 10 min</w:t>
            </w:r>
          </w:p>
        </w:tc>
      </w:tr>
    </w:tbl>
    <w:p>
      <w:pPr>
        <w:pStyle w:val="BodyText"/>
      </w:pPr>
      <w:r>
        <w:rPr>
          <w:bCs/>
          <w:b/>
        </w:rPr>
        <w:t xml:space="preserve">Bottleneck:</w:t>
      </w:r>
      <w:r>
        <w:t xml:space="preserve"> </w:t>
      </w:r>
      <w:r>
        <w:t xml:space="preserve">step 5. One rig and two founders give ≈9 units/day, slower than assembly.</w:t>
      </w:r>
      <w:r>
        <w:t xml:space="preserve"> </w:t>
      </w:r>
      <w:r>
        <w:rPr>
          <w:bCs/>
          <w:b/>
        </w:rPr>
        <w:t xml:space="preserve">Redesign (no new spend first):</w:t>
      </w:r>
      <w:r>
        <w:t xml:space="preserve"> </w:t>
      </w:r>
      <w:r>
        <w:t xml:space="preserve">run calibration as a scripted batch on the existing rig (firmware self-test + automatic pass/fail on the logged IMU), test 4 units per rig cycle, and only hand-check failures. Target ≈12 min per unit.</w:t>
      </w:r>
    </w:p>
    <w:bookmarkEnd w:id="63"/>
    <w:bookmarkStart w:id="64" w:name="parkinsense-online-order-to-support"/>
    <w:p>
      <w:pPr>
        <w:pStyle w:val="Heading2"/>
      </w:pPr>
      <w:r>
        <w:t xml:space="preserve">2. ParkinSense: online order to support</w:t>
      </w:r>
    </w:p>
    <w:tbl>
      <w:tblPr>
        <w:tblStyle w:val="Table"/>
        <w:tblW w:type="pct" w:w="5000"/>
        <w:tblLook w:firstRow="1" w:lastRow="0" w:firstColumn="0" w:lastColumn="0" w:noHBand="0" w:noVBand="0" w:val="0020"/>
        <w:jc w:val="start"/>
      </w:tblPr>
      <w:tblGrid>
        <w:gridCol w:w="396"/>
        <w:gridCol w:w="5544"/>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Estimated time</w:t>
            </w:r>
          </w:p>
        </w:tc>
      </w:tr>
      <w:tr>
        <w:tc>
          <w:tcPr/>
          <w:p>
            <w:pPr>
              <w:pStyle w:val="Compact"/>
              <w:jc w:val="left"/>
            </w:pPr>
            <w:r>
              <w:t xml:space="preserve">1</w:t>
            </w:r>
          </w:p>
        </w:tc>
        <w:tc>
          <w:tcPr/>
          <w:p>
            <w:pPr>
              <w:pStyle w:val="Compact"/>
              <w:jc w:val="left"/>
            </w:pPr>
            <w:r>
              <w:t xml:space="preserve">Online order and payment</w:t>
            </w:r>
          </w:p>
        </w:tc>
        <w:tc>
          <w:tcPr/>
          <w:p>
            <w:pPr>
              <w:pStyle w:val="Compact"/>
              <w:jc w:val="left"/>
            </w:pPr>
            <w:r>
              <w:t xml:space="preserve">instant</w:t>
            </w:r>
          </w:p>
        </w:tc>
      </w:tr>
      <w:tr>
        <w:tc>
          <w:tcPr/>
          <w:p>
            <w:pPr>
              <w:pStyle w:val="Compact"/>
              <w:jc w:val="left"/>
            </w:pPr>
            <w:r>
              <w:t xml:space="preserve">2</w:t>
            </w:r>
          </w:p>
        </w:tc>
        <w:tc>
          <w:tcPr/>
          <w:p>
            <w:pPr>
              <w:pStyle w:val="Compact"/>
              <w:jc w:val="left"/>
            </w:pPr>
            <w:r>
              <w:t xml:space="preserve">Flash firmware, pair, register device ID</w:t>
            </w:r>
          </w:p>
        </w:tc>
        <w:tc>
          <w:tcPr/>
          <w:p>
            <w:pPr>
              <w:pStyle w:val="Compact"/>
              <w:jc w:val="left"/>
            </w:pPr>
            <w:r>
              <w:t xml:space="preserve">10 min</w:t>
            </w:r>
          </w:p>
        </w:tc>
      </w:tr>
      <w:tr>
        <w:tc>
          <w:tcPr/>
          <w:p>
            <w:pPr>
              <w:pStyle w:val="Compact"/>
              <w:jc w:val="left"/>
            </w:pPr>
            <w:r>
              <w:t xml:space="preserve">3</w:t>
            </w:r>
          </w:p>
        </w:tc>
        <w:tc>
          <w:tcPr/>
          <w:p>
            <w:pPr>
              <w:pStyle w:val="Compact"/>
              <w:jc w:val="left"/>
            </w:pPr>
            <w:r>
              <w:rPr>
                <w:bCs/>
                <w:b/>
              </w:rPr>
              <w:t xml:space="preserve">BLE streaming soak test (packet loss, battery)</w:t>
            </w:r>
          </w:p>
        </w:tc>
        <w:tc>
          <w:tcPr/>
          <w:p>
            <w:pPr>
              <w:pStyle w:val="Compact"/>
              <w:jc w:val="left"/>
            </w:pPr>
            <w:r>
              <w:rPr>
                <w:bCs/>
                <w:b/>
              </w:rPr>
              <w:t xml:space="preserve">8 h per batch</w:t>
            </w:r>
          </w:p>
        </w:tc>
      </w:tr>
      <w:tr>
        <w:tc>
          <w:tcPr/>
          <w:p>
            <w:pPr>
              <w:pStyle w:val="Compact"/>
              <w:jc w:val="left"/>
            </w:pPr>
            <w:r>
              <w:t xml:space="preserve">4</w:t>
            </w:r>
          </w:p>
        </w:tc>
        <w:tc>
          <w:tcPr/>
          <w:p>
            <w:pPr>
              <w:pStyle w:val="Compact"/>
              <w:jc w:val="left"/>
            </w:pPr>
            <w:r>
              <w:t xml:space="preserve">Strap fit, pack</w:t>
            </w:r>
          </w:p>
        </w:tc>
        <w:tc>
          <w:tcPr/>
          <w:p>
            <w:pPr>
              <w:pStyle w:val="Compact"/>
              <w:jc w:val="left"/>
            </w:pPr>
            <w:r>
              <w:t xml:space="preserve">10 min</w:t>
            </w:r>
          </w:p>
        </w:tc>
      </w:tr>
      <w:tr>
        <w:tc>
          <w:tcPr/>
          <w:p>
            <w:pPr>
              <w:pStyle w:val="Compact"/>
              <w:jc w:val="left"/>
            </w:pPr>
            <w:r>
              <w:t xml:space="preserve">5</w:t>
            </w:r>
          </w:p>
        </w:tc>
        <w:tc>
          <w:tcPr/>
          <w:p>
            <w:pPr>
              <w:pStyle w:val="Compact"/>
              <w:jc w:val="left"/>
            </w:pPr>
            <w:r>
              <w:t xml:space="preserve">Courier</w:t>
            </w:r>
          </w:p>
        </w:tc>
        <w:tc>
          <w:tcPr/>
          <w:p>
            <w:pPr>
              <w:pStyle w:val="Compact"/>
              <w:jc w:val="left"/>
            </w:pPr>
            <w:r>
              <w:t xml:space="preserve">2–4 days</w:t>
            </w:r>
          </w:p>
        </w:tc>
      </w:tr>
      <w:tr>
        <w:tc>
          <w:tcPr/>
          <w:p>
            <w:pPr>
              <w:pStyle w:val="Compact"/>
              <w:jc w:val="left"/>
            </w:pPr>
            <w:r>
              <w:t xml:space="preserve">6</w:t>
            </w:r>
          </w:p>
        </w:tc>
        <w:tc>
          <w:tcPr/>
          <w:p>
            <w:pPr>
              <w:pStyle w:val="Compact"/>
              <w:jc w:val="left"/>
            </w:pPr>
            <w:r>
              <w:t xml:space="preserve">App/dashboard onboarding email + support</w:t>
            </w:r>
          </w:p>
        </w:tc>
        <w:tc>
          <w:tcPr/>
          <w:p>
            <w:pPr>
              <w:pStyle w:val="Compact"/>
              <w:jc w:val="left"/>
            </w:pPr>
            <w:r>
              <w:t xml:space="preserve">15 min</w:t>
            </w:r>
          </w:p>
        </w:tc>
      </w:tr>
    </w:tbl>
    <w:p>
      <w:pPr>
        <w:pStyle w:val="BodyText"/>
      </w:pPr>
      <w:r>
        <w:rPr>
          <w:bCs/>
          <w:b/>
        </w:rPr>
        <w:t xml:space="preserve">Bottleneck:</w:t>
      </w:r>
      <w:r>
        <w:t xml:space="preserve"> </w:t>
      </w:r>
      <w:r>
        <w:t xml:space="preserve">the soak test.</w:t>
      </w:r>
      <w:r>
        <w:t xml:space="preserve"> </w:t>
      </w:r>
      <w:r>
        <w:rPr>
          <w:bCs/>
          <w:b/>
        </w:rPr>
        <w:t xml:space="preserve">Redesign:</w:t>
      </w:r>
      <w:r>
        <w:t xml:space="preserve"> </w:t>
      </w:r>
      <w:r>
        <w:t xml:space="preserve">a 20-slot charging-and-soak rack that tests a full batch overnight in parallel.</w:t>
      </w:r>
    </w:p>
    <w:bookmarkEnd w:id="64"/>
    <w:bookmarkStart w:id="65" w:name="Xeca955a966a4e07d6e9d24981ef2bd604a88abb"/>
    <w:p>
      <w:pPr>
        <w:pStyle w:val="Heading2"/>
      </w:pPr>
      <w:r>
        <w:t xml:space="preserve">3. SOP — TremoSense final calibration and test (new hire can follow)</w:t>
      </w:r>
    </w:p>
    <w:p>
      <w:pPr>
        <w:numPr>
          <w:ilvl w:val="0"/>
          <w:numId w:val="1003"/>
        </w:numPr>
        <w:pStyle w:val="Compact"/>
      </w:pPr>
      <w:r>
        <w:t xml:space="preserve">Scan the unit's serial QR code; the test script opens a log file named with the serial number.</w:t>
      </w:r>
    </w:p>
    <w:p>
      <w:pPr>
        <w:numPr>
          <w:ilvl w:val="0"/>
          <w:numId w:val="1003"/>
        </w:numPr>
        <w:pStyle w:val="Compact"/>
      </w:pPr>
      <w:r>
        <w:t xml:space="preserve">Charge to ≥80% (green LED). If not reached in 60 min, tag “battery” and set aside.</w:t>
      </w:r>
    </w:p>
    <w:p>
      <w:pPr>
        <w:numPr>
          <w:ilvl w:val="0"/>
          <w:numId w:val="1003"/>
        </w:numPr>
        <w:pStyle w:val="Compact"/>
      </w:pPr>
      <w:r>
        <w:t xml:space="preserve">Mount the handle in the simulator clamp, spoon head pointing up; tighten until the handle does not slip.</w:t>
      </w:r>
    </w:p>
    <w:p>
      <w:pPr>
        <w:numPr>
          <w:ilvl w:val="0"/>
          <w:numId w:val="1003"/>
        </w:numPr>
        <w:pStyle w:val="Compact"/>
      </w:pPr>
      <w:r>
        <w:t xml:space="preserve">Run</w:t>
      </w:r>
      <w:r>
        <w:t xml:space="preserve"> </w:t>
      </w:r>
      <w:r>
        <w:rPr>
          <w:iCs/>
          <w:i/>
        </w:rPr>
        <w:t xml:space="preserve">self-test</w:t>
      </w:r>
      <w:r>
        <w:t xml:space="preserve">: the servos sweep ±20°; check there is no grinding and both axes return to level.</w:t>
      </w:r>
    </w:p>
    <w:p>
      <w:pPr>
        <w:numPr>
          <w:ilvl w:val="0"/>
          <w:numId w:val="1003"/>
        </w:numPr>
        <w:pStyle w:val="Compact"/>
      </w:pPr>
      <w:r>
        <w:t xml:space="preserve">Run the simulator at 4, 6 and 8 Hz for 20 s each; the script computes tremor rejection from the handle and head IMUs.</w:t>
      </w:r>
    </w:p>
    <w:p>
      <w:pPr>
        <w:numPr>
          <w:ilvl w:val="0"/>
          <w:numId w:val="1003"/>
        </w:numPr>
        <w:pStyle w:val="Compact"/>
      </w:pPr>
      <w:r>
        <w:t xml:space="preserve">Pass if rejection ≥ the release threshold at every frequency (threshold set from the published bench logs); the script prints PASS/FAIL.</w:t>
      </w:r>
    </w:p>
    <w:p>
      <w:pPr>
        <w:numPr>
          <w:ilvl w:val="0"/>
          <w:numId w:val="1003"/>
        </w:numPr>
        <w:pStyle w:val="Compact"/>
      </w:pPr>
      <w:r>
        <w:t xml:space="preserve">On PASS, wipe the food-contact head with food-safe sanitiser, fit the cap and pack with the manual. On FAIL, tag the failure code and send to rework.</w:t>
      </w:r>
    </w:p>
    <w:p>
      <w:pPr>
        <w:numPr>
          <w:ilvl w:val="0"/>
          <w:numId w:val="1003"/>
        </w:numPr>
        <w:pStyle w:val="Compact"/>
      </w:pPr>
      <w:r>
        <w:t xml:space="preserve">Upload the log; the order is released for dispatch only when a PASS log exists.</w:t>
      </w:r>
    </w:p>
    <w:bookmarkEnd w:id="65"/>
    <w:bookmarkStart w:id="66" w:name="lean-wastes-and-how-we-remove-them"/>
    <w:p>
      <w:pPr>
        <w:pStyle w:val="Heading2"/>
      </w:pPr>
      <w:r>
        <w:t xml:space="preserve">4. Lean wastes and how we remove them</w:t>
      </w:r>
    </w:p>
    <w:tbl>
      <w:tblPr>
        <w:tblStyle w:val="Table"/>
        <w:tblW w:type="pct" w:w="5000"/>
        <w:tblLook w:firstRow="1" w:lastRow="0" w:firstColumn="0" w:lastColumn="0" w:noHBand="0" w:noVBand="0" w:val="0020"/>
        <w:jc w:val="start"/>
      </w:tblPr>
      <w:tblGrid>
        <w:gridCol w:w="1267"/>
        <w:gridCol w:w="3009"/>
        <w:gridCol w:w="3643"/>
      </w:tblGrid>
      <w:tr>
        <w:trPr>
          <w:tblHeader w:val="true"/>
        </w:trPr>
        <w:tc>
          <w:tcPr/>
          <w:p>
            <w:pPr>
              <w:pStyle w:val="Compact"/>
              <w:jc w:val="left"/>
            </w:pPr>
            <w:r>
              <w:t xml:space="preserve">Waste</w:t>
            </w:r>
          </w:p>
        </w:tc>
        <w:tc>
          <w:tcPr/>
          <w:p>
            <w:pPr>
              <w:pStyle w:val="Compact"/>
              <w:jc w:val="left"/>
            </w:pPr>
            <w:r>
              <w:t xml:space="preserve">Where it shows up</w:t>
            </w:r>
          </w:p>
        </w:tc>
        <w:tc>
          <w:tcPr/>
          <w:p>
            <w:pPr>
              <w:pStyle w:val="Compact"/>
              <w:jc w:val="left"/>
            </w:pPr>
            <w:r>
              <w:t xml:space="preserve">How we reduce it</w:t>
            </w:r>
          </w:p>
        </w:tc>
      </w:tr>
      <w:tr>
        <w:tc>
          <w:tcPr/>
          <w:p>
            <w:pPr>
              <w:pStyle w:val="Compact"/>
              <w:jc w:val="left"/>
            </w:pPr>
            <w:r>
              <w:t xml:space="preserve">Waiting</w:t>
            </w:r>
          </w:p>
        </w:tc>
        <w:tc>
          <w:tcPr/>
          <w:p>
            <w:pPr>
              <w:pStyle w:val="Compact"/>
              <w:jc w:val="left"/>
            </w:pPr>
            <w:r>
              <w:t xml:space="preserve">Assembled units wait for calibration</w:t>
            </w:r>
          </w:p>
        </w:tc>
        <w:tc>
          <w:tcPr/>
          <w:p>
            <w:pPr>
              <w:pStyle w:val="Compact"/>
              <w:jc w:val="left"/>
            </w:pPr>
            <w:r>
              <w:t xml:space="preserve">Batch self-test script (above); calibrate as units arrive, not at the end</w:t>
            </w:r>
          </w:p>
        </w:tc>
      </w:tr>
      <w:tr>
        <w:tc>
          <w:tcPr/>
          <w:p>
            <w:pPr>
              <w:pStyle w:val="Compact"/>
              <w:jc w:val="left"/>
            </w:pPr>
            <w:r>
              <w:t xml:space="preserve">Inventory</w:t>
            </w:r>
          </w:p>
        </w:tc>
        <w:tc>
          <w:tcPr/>
          <w:p>
            <w:pPr>
              <w:pStyle w:val="Compact"/>
              <w:jc w:val="left"/>
            </w:pPr>
            <w:r>
              <w:t xml:space="preserve">Pilot batch of 100 units bought before demand is proven</w:t>
            </w:r>
          </w:p>
        </w:tc>
        <w:tc>
          <w:tcPr/>
          <w:p>
            <w:pPr>
              <w:pStyle w:val="Compact"/>
              <w:jc w:val="left"/>
            </w:pPr>
            <w:r>
              <w:t xml:space="preserve">Buy servos and enclosures in 25-unit lots tied to clinic orders; keep only sub-assemblies</w:t>
            </w:r>
          </w:p>
        </w:tc>
      </w:tr>
      <w:tr>
        <w:tc>
          <w:tcPr/>
          <w:p>
            <w:pPr>
              <w:pStyle w:val="Compact"/>
              <w:jc w:val="left"/>
            </w:pPr>
            <w:r>
              <w:t xml:space="preserve">Defects</w:t>
            </w:r>
          </w:p>
        </w:tc>
        <w:tc>
          <w:tcPr/>
          <w:p>
            <w:pPr>
              <w:pStyle w:val="Compact"/>
              <w:jc w:val="left"/>
            </w:pPr>
            <w:r>
              <w:t xml:space="preserve">Servo or boost-converter failures found by the customer</w:t>
            </w:r>
          </w:p>
        </w:tc>
        <w:tc>
          <w:tcPr/>
          <w:p>
            <w:pPr>
              <w:pStyle w:val="Compact"/>
              <w:jc w:val="left"/>
            </w:pPr>
            <w:r>
              <w:t xml:space="preserve">100% end-of-line test with a stored PASS log; track failure codes to fix root causes</w:t>
            </w:r>
          </w:p>
        </w:tc>
      </w:tr>
    </w:tbl>
    <w:bookmarkEnd w:id="66"/>
    <w:bookmarkEnd w:id="67"/>
    <w:bookmarkStart w:id="73" w:name="M3.2"/>
    <w:p>
      <w:pPr>
        <w:pStyle w:val="BodyText"/>
      </w:pPr>
      <w:r>
        <w:t xml:space="preserve">M3 · Activity 2 · Mandatory Model M3.2</w:t>
      </w:r>
    </w:p>
    <w:bookmarkStart w:id="68" w:name="unit-economics-runway-model"/>
    <w:p>
      <w:pPr>
        <w:pStyle w:val="Heading1"/>
      </w:pPr>
      <w:r>
        <w:t xml:space="preserve">Unit-Economics &amp; Runway Model</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68"/>
    <w:p>
      <w:pPr>
        <w:pStyle w:val="BodyText"/>
      </w:pPr>
      <w:r>
        <w:t xml:space="preserve">Every number is a forecast from the financial model (Unit Economics and Forecast sheets). AVERRA has no actual revenue yet; nothing below is an actual financial result.</w:t>
      </w:r>
    </w:p>
    <w:bookmarkStart w:id="69" w:name="unit-economics"/>
    <w:p>
      <w:pPr>
        <w:pStyle w:val="Heading2"/>
      </w:pPr>
      <w:r>
        <w:t xml:space="preserve">1. Unit economics</w:t>
      </w:r>
    </w:p>
    <w:tbl>
      <w:tblPr>
        <w:tblStyle w:val="Table"/>
        <w:tblW w:type="pct" w:w="5000"/>
        <w:tblLook w:firstRow="1" w:lastRow="0" w:firstColumn="0" w:lastColumn="0" w:noHBand="0" w:noVBand="0" w:val="0020"/>
        <w:jc w:val="start"/>
      </w:tblPr>
      <w:tblGrid>
        <w:gridCol w:w="1425"/>
        <w:gridCol w:w="2376"/>
        <w:gridCol w:w="2059"/>
        <w:gridCol w:w="2059"/>
      </w:tblGrid>
      <w:tr>
        <w:trPr>
          <w:tblHeader w:val="true"/>
        </w:trPr>
        <w:tc>
          <w:tcPr/>
          <w:p>
            <w:pPr>
              <w:pStyle w:val="Compact"/>
              <w:jc w:val="left"/>
            </w:pPr>
            <w:r>
              <w:t xml:space="preserve">Metric</w:t>
            </w:r>
          </w:p>
        </w:tc>
        <w:tc>
          <w:tcPr/>
          <w:p>
            <w:pPr>
              <w:pStyle w:val="Compact"/>
              <w:jc w:val="left"/>
            </w:pPr>
            <w:r>
              <w:t xml:space="preserve">Formula</w:t>
            </w:r>
          </w:p>
        </w:tc>
        <w:tc>
          <w:tcPr/>
          <w:p>
            <w:pPr>
              <w:pStyle w:val="Compact"/>
              <w:jc w:val="left"/>
            </w:pPr>
            <w:r>
              <w:t xml:space="preserve">TremoSense</w:t>
            </w:r>
          </w:p>
        </w:tc>
        <w:tc>
          <w:tcPr/>
          <w:p>
            <w:pPr>
              <w:pStyle w:val="Compact"/>
              <w:jc w:val="left"/>
            </w:pPr>
            <w:r>
              <w:t xml:space="preserve">ParkinSense</w:t>
            </w:r>
          </w:p>
        </w:tc>
      </w:tr>
      <w:tr>
        <w:tc>
          <w:tcPr/>
          <w:p>
            <w:pPr>
              <w:pStyle w:val="Compact"/>
              <w:jc w:val="left"/>
            </w:pPr>
            <w:r>
              <w:t xml:space="preserve">CAC</w:t>
            </w:r>
          </w:p>
        </w:tc>
        <w:tc>
          <w:tcPr/>
          <w:p>
            <w:pPr>
              <w:pStyle w:val="Compact"/>
              <w:jc w:val="left"/>
            </w:pPr>
            <w:r>
              <w:t xml:space="preserve">planned acquisition spend ÷ customers acquired</w:t>
            </w:r>
          </w:p>
        </w:tc>
        <w:tc>
          <w:tcPr/>
          <w:p>
            <w:pPr>
              <w:pStyle w:val="Compact"/>
              <w:jc w:val="left"/>
            </w:pPr>
            <w:r>
              <w:t xml:space="preserve">₹1,079</w:t>
            </w:r>
          </w:p>
        </w:tc>
        <w:tc>
          <w:tcPr/>
          <w:p>
            <w:pPr>
              <w:pStyle w:val="Compact"/>
              <w:jc w:val="left"/>
            </w:pPr>
            <w:r>
              <w:t xml:space="preserve">₹1,500</w:t>
            </w:r>
          </w:p>
        </w:tc>
      </w:tr>
      <w:tr>
        <w:tc>
          <w:tcPr/>
          <w:p>
            <w:pPr>
              <w:pStyle w:val="Compact"/>
              <w:jc w:val="left"/>
            </w:pPr>
            <w:r>
              <w:t xml:space="preserve">Contribution per unit</w:t>
            </w:r>
          </w:p>
        </w:tc>
        <w:tc>
          <w:tcPr/>
          <w:p>
            <w:pPr>
              <w:pStyle w:val="Compact"/>
              <w:jc w:val="left"/>
            </w:pPr>
            <w:r>
              <w:t xml:space="preserve">price ex-GST − channel − COGS − warranty − shipping</w:t>
            </w:r>
          </w:p>
        </w:tc>
        <w:tc>
          <w:tcPr/>
          <w:p>
            <w:pPr>
              <w:pStyle w:val="Compact"/>
              <w:jc w:val="left"/>
            </w:pPr>
            <w:r>
              <w:t xml:space="preserve">₹2,538</w:t>
            </w:r>
          </w:p>
        </w:tc>
        <w:tc>
          <w:tcPr/>
          <w:p>
            <w:pPr>
              <w:pStyle w:val="Compact"/>
              <w:jc w:val="left"/>
            </w:pPr>
            <w:r>
              <w:t xml:space="preserve">₹1,982</w:t>
            </w:r>
          </w:p>
        </w:tc>
      </w:tr>
      <w:tr>
        <w:tc>
          <w:tcPr/>
          <w:p>
            <w:pPr>
              <w:pStyle w:val="Compact"/>
              <w:jc w:val="left"/>
            </w:pPr>
            <w:r>
              <w:t xml:space="preserve">LTV</w:t>
            </w:r>
          </w:p>
        </w:tc>
        <w:tc>
          <w:tcPr/>
          <w:p>
            <w:pPr>
              <w:pStyle w:val="Compact"/>
              <w:jc w:val="left"/>
            </w:pPr>
            <w:r>
              <w:t xml:space="preserve">lifetime contribution per customer</w:t>
            </w:r>
          </w:p>
        </w:tc>
        <w:tc>
          <w:tcPr/>
          <w:p>
            <w:pPr>
              <w:pStyle w:val="Compact"/>
              <w:jc w:val="left"/>
            </w:pPr>
            <w:r>
              <w:t xml:space="preserve">₹2,538 × 1.4 purchases (40% repurchase) = ₹3,553</w:t>
            </w:r>
          </w:p>
        </w:tc>
        <w:tc>
          <w:tcPr/>
          <w:p>
            <w:pPr>
              <w:pStyle w:val="Compact"/>
              <w:jc w:val="left"/>
            </w:pPr>
            <w:r>
              <w:t xml:space="preserve">₹1,982 + 40% × ₹129/mo × 20 mo = ₹3,011</w:t>
            </w:r>
          </w:p>
        </w:tc>
      </w:tr>
      <w:tr>
        <w:tc>
          <w:tcPr/>
          <w:p>
            <w:pPr>
              <w:pStyle w:val="Compact"/>
              <w:jc w:val="left"/>
            </w:pPr>
            <w:r>
              <w:t xml:space="preserve">LTV : CAC</w:t>
            </w:r>
          </w:p>
        </w:tc>
        <w:tc>
          <w:tcPr/>
          <w:p>
            <w:pPr>
              <w:pStyle w:val="Compact"/>
              <w:jc w:val="left"/>
            </w:pPr>
            <w:r>
              <w:t xml:space="preserve">LTV ÷ CAC</w:t>
            </w:r>
          </w:p>
        </w:tc>
        <w:tc>
          <w:tcPr/>
          <w:p>
            <w:pPr>
              <w:pStyle w:val="Compact"/>
              <w:jc w:val="left"/>
            </w:pPr>
            <w:r>
              <w:t xml:space="preserve">3.29×</w:t>
            </w:r>
          </w:p>
        </w:tc>
        <w:tc>
          <w:tcPr/>
          <w:p>
            <w:pPr>
              <w:pStyle w:val="Compact"/>
              <w:jc w:val="left"/>
            </w:pPr>
            <w:r>
              <w:t xml:space="preserve">2.01×</w:t>
            </w:r>
          </w:p>
        </w:tc>
      </w:tr>
      <w:tr>
        <w:tc>
          <w:tcPr/>
          <w:p>
            <w:pPr>
              <w:pStyle w:val="Compact"/>
              <w:jc w:val="left"/>
            </w:pPr>
            <w:r>
              <w:t xml:space="preserve">CAC payback</w:t>
            </w:r>
          </w:p>
        </w:tc>
        <w:tc>
          <w:tcPr/>
          <w:p>
            <w:pPr>
              <w:pStyle w:val="Compact"/>
              <w:jc w:val="left"/>
            </w:pPr>
            <w:r>
              <w:t xml:space="preserve">CAC ÷ contribution per sale</w:t>
            </w:r>
          </w:p>
        </w:tc>
        <w:tc>
          <w:tcPr/>
          <w:p>
            <w:pPr>
              <w:pStyle w:val="Compact"/>
              <w:jc w:val="left"/>
            </w:pPr>
            <w:r>
              <w:t xml:space="preserve">0.43 of the first sale → paid back on the first sale</w:t>
            </w:r>
          </w:p>
        </w:tc>
        <w:tc>
          <w:tcPr/>
          <w:p>
            <w:pPr>
              <w:pStyle w:val="Compact"/>
              <w:jc w:val="left"/>
            </w:pPr>
            <w:r>
              <w:t xml:space="preserve">0.76 of the first sale → first sale</w:t>
            </w:r>
          </w:p>
        </w:tc>
      </w:tr>
    </w:tbl>
    <w:bookmarkEnd w:id="69"/>
    <w:bookmarkStart w:id="70" w:name="Xae56f2b59ef60983240481c4cc46bd5b52d990a"/>
    <w:p>
      <w:pPr>
        <w:pStyle w:val="Heading2"/>
      </w:pPr>
      <w:r>
        <w:t xml:space="preserve">2. 12-month cash forecast (Jul 2027 – Jun 2028), funded by the ₹10.51 L round only</w:t>
      </w:r>
    </w:p>
    <w:tbl>
      <w:tblPr>
        <w:tblStyle w:val="Table"/>
        <w:tblW w:type="pct" w:w="5000"/>
        <w:tblLook w:firstRow="1" w:lastRow="0" w:firstColumn="0" w:lastColumn="0" w:noHBand="0" w:noVBand="0" w:val="0020"/>
        <w:jc w:val="start"/>
      </w:tblPr>
      <w:tblGrid>
        <w:gridCol w:w="1267"/>
        <w:gridCol w:w="1267"/>
        <w:gridCol w:w="1108"/>
        <w:gridCol w:w="1425"/>
        <w:gridCol w:w="1425"/>
        <w:gridCol w:w="1425"/>
      </w:tblGrid>
      <w:tr>
        <w:trPr>
          <w:tblHeader w:val="true"/>
        </w:trPr>
        <w:tc>
          <w:tcPr/>
          <w:p>
            <w:pPr>
              <w:pStyle w:val="Compact"/>
              <w:jc w:val="left"/>
            </w:pPr>
            <w:r>
              <w:t xml:space="preserve">Month</w:t>
            </w:r>
          </w:p>
        </w:tc>
        <w:tc>
          <w:tcPr/>
          <w:p>
            <w:pPr>
              <w:pStyle w:val="Compact"/>
              <w:jc w:val="left"/>
            </w:pPr>
            <w:r>
              <w:t xml:space="preserve">Cash out</w:t>
            </w:r>
          </w:p>
        </w:tc>
        <w:tc>
          <w:tcPr/>
          <w:p>
            <w:pPr>
              <w:pStyle w:val="Compact"/>
              <w:jc w:val="left"/>
            </w:pPr>
            <w:r>
              <w:t xml:space="preserve">Cash in</w:t>
            </w:r>
          </w:p>
        </w:tc>
        <w:tc>
          <w:tcPr/>
          <w:p>
            <w:pPr>
              <w:pStyle w:val="Compact"/>
              <w:jc w:val="left"/>
            </w:pPr>
            <w:r>
              <w:t xml:space="preserve">Net cash flow</w:t>
            </w:r>
          </w:p>
        </w:tc>
        <w:tc>
          <w:tcPr/>
          <w:p>
            <w:pPr>
              <w:pStyle w:val="Compact"/>
              <w:jc w:val="left"/>
            </w:pPr>
            <w:r>
              <w:t xml:space="preserve">Cumulative</w:t>
            </w:r>
          </w:p>
        </w:tc>
        <w:tc>
          <w:tcPr/>
          <w:p>
            <w:pPr>
              <w:pStyle w:val="Compact"/>
              <w:jc w:val="left"/>
            </w:pPr>
            <w:r>
              <w:t xml:space="preserve">Closing cash</w:t>
            </w:r>
          </w:p>
        </w:tc>
      </w:tr>
      <w:tr>
        <w:tc>
          <w:tcPr/>
          <w:p>
            <w:pPr>
              <w:pStyle w:val="Compact"/>
              <w:jc w:val="left"/>
            </w:pPr>
            <w:r>
              <w:t xml:space="preserve">M1 · Jul-27</w:t>
            </w:r>
          </w:p>
        </w:tc>
        <w:tc>
          <w:tcPr/>
          <w:p>
            <w:pPr>
              <w:pStyle w:val="Compact"/>
              <w:jc w:val="left"/>
            </w:pPr>
            <w:r>
              <w:t xml:space="preserve">₹1,46,300</w:t>
            </w:r>
          </w:p>
        </w:tc>
        <w:tc>
          <w:tcPr/>
          <w:p>
            <w:pPr>
              <w:pStyle w:val="Compact"/>
              <w:jc w:val="left"/>
            </w:pPr>
            <w:r>
              <w:t xml:space="preserve">₹0</w:t>
            </w:r>
          </w:p>
        </w:tc>
        <w:tc>
          <w:tcPr/>
          <w:p>
            <w:pPr>
              <w:pStyle w:val="Compact"/>
              <w:jc w:val="left"/>
            </w:pPr>
            <w:r>
              <w:t xml:space="preserve">-₹1,46,300</w:t>
            </w:r>
          </w:p>
        </w:tc>
        <w:tc>
          <w:tcPr/>
          <w:p>
            <w:pPr>
              <w:pStyle w:val="Compact"/>
              <w:jc w:val="left"/>
            </w:pPr>
            <w:r>
              <w:t xml:space="preserve">-₹1,46,300</w:t>
            </w:r>
          </w:p>
        </w:tc>
        <w:tc>
          <w:tcPr/>
          <w:p>
            <w:pPr>
              <w:pStyle w:val="Compact"/>
              <w:jc w:val="left"/>
            </w:pPr>
            <w:r>
              <w:t xml:space="preserve">₹9,04,871</w:t>
            </w:r>
          </w:p>
        </w:tc>
      </w:tr>
      <w:tr>
        <w:tc>
          <w:tcPr/>
          <w:p>
            <w:pPr>
              <w:pStyle w:val="Compact"/>
              <w:jc w:val="left"/>
            </w:pPr>
            <w:r>
              <w:t xml:space="preserve">M2 · Aug-27</w:t>
            </w:r>
          </w:p>
        </w:tc>
        <w:tc>
          <w:tcPr/>
          <w:p>
            <w:pPr>
              <w:pStyle w:val="Compact"/>
              <w:jc w:val="left"/>
            </w:pPr>
            <w:r>
              <w:t xml:space="preserve">₹1,92,500</w:t>
            </w:r>
          </w:p>
        </w:tc>
        <w:tc>
          <w:tcPr/>
          <w:p>
            <w:pPr>
              <w:pStyle w:val="Compact"/>
              <w:jc w:val="left"/>
            </w:pPr>
            <w:r>
              <w:t xml:space="preserve">₹0</w:t>
            </w:r>
          </w:p>
        </w:tc>
        <w:tc>
          <w:tcPr/>
          <w:p>
            <w:pPr>
              <w:pStyle w:val="Compact"/>
              <w:jc w:val="left"/>
            </w:pPr>
            <w:r>
              <w:t xml:space="preserve">-₹1,92,500</w:t>
            </w:r>
          </w:p>
        </w:tc>
        <w:tc>
          <w:tcPr/>
          <w:p>
            <w:pPr>
              <w:pStyle w:val="Compact"/>
              <w:jc w:val="left"/>
            </w:pPr>
            <w:r>
              <w:t xml:space="preserve">-₹3,38,800</w:t>
            </w:r>
          </w:p>
        </w:tc>
        <w:tc>
          <w:tcPr/>
          <w:p>
            <w:pPr>
              <w:pStyle w:val="Compact"/>
              <w:jc w:val="left"/>
            </w:pPr>
            <w:r>
              <w:t xml:space="preserve">₹7,12,371</w:t>
            </w:r>
          </w:p>
        </w:tc>
      </w:tr>
      <w:tr>
        <w:tc>
          <w:tcPr/>
          <w:p>
            <w:pPr>
              <w:pStyle w:val="Compact"/>
              <w:jc w:val="left"/>
            </w:pPr>
            <w:r>
              <w:t xml:space="preserve">M3 · Sep-27</w:t>
            </w:r>
          </w:p>
        </w:tc>
        <w:tc>
          <w:tcPr/>
          <w:p>
            <w:pPr>
              <w:pStyle w:val="Compact"/>
              <w:jc w:val="left"/>
            </w:pPr>
            <w:r>
              <w:t xml:space="preserve">₹1,46,676</w:t>
            </w:r>
          </w:p>
        </w:tc>
        <w:tc>
          <w:tcPr/>
          <w:p>
            <w:pPr>
              <w:pStyle w:val="Compact"/>
              <w:jc w:val="left"/>
            </w:pPr>
            <w:r>
              <w:t xml:space="preserve">₹0</w:t>
            </w:r>
          </w:p>
        </w:tc>
        <w:tc>
          <w:tcPr/>
          <w:p>
            <w:pPr>
              <w:pStyle w:val="Compact"/>
              <w:jc w:val="left"/>
            </w:pPr>
            <w:r>
              <w:t xml:space="preserve">-₹1,46,676</w:t>
            </w:r>
          </w:p>
        </w:tc>
        <w:tc>
          <w:tcPr/>
          <w:p>
            <w:pPr>
              <w:pStyle w:val="Compact"/>
              <w:jc w:val="left"/>
            </w:pPr>
            <w:r>
              <w:t xml:space="preserve">-₹4,85,476</w:t>
            </w:r>
          </w:p>
        </w:tc>
        <w:tc>
          <w:tcPr/>
          <w:p>
            <w:pPr>
              <w:pStyle w:val="Compact"/>
              <w:jc w:val="left"/>
            </w:pPr>
            <w:r>
              <w:t xml:space="preserve">₹5,65,695</w:t>
            </w:r>
          </w:p>
        </w:tc>
      </w:tr>
      <w:tr>
        <w:tc>
          <w:tcPr/>
          <w:p>
            <w:pPr>
              <w:pStyle w:val="Compact"/>
              <w:jc w:val="left"/>
            </w:pPr>
            <w:r>
              <w:t xml:space="preserve">M4 · Oct-27</w:t>
            </w:r>
          </w:p>
        </w:tc>
        <w:tc>
          <w:tcPr/>
          <w:p>
            <w:pPr>
              <w:pStyle w:val="Compact"/>
              <w:jc w:val="left"/>
            </w:pPr>
            <w:r>
              <w:t xml:space="preserve">₹1,59,500</w:t>
            </w:r>
          </w:p>
        </w:tc>
        <w:tc>
          <w:tcPr/>
          <w:p>
            <w:pPr>
              <w:pStyle w:val="Compact"/>
              <w:jc w:val="left"/>
            </w:pPr>
            <w:r>
              <w:t xml:space="preserve">₹0</w:t>
            </w:r>
          </w:p>
        </w:tc>
        <w:tc>
          <w:tcPr/>
          <w:p>
            <w:pPr>
              <w:pStyle w:val="Compact"/>
              <w:jc w:val="left"/>
            </w:pPr>
            <w:r>
              <w:t xml:space="preserve">-₹1,59,500</w:t>
            </w:r>
          </w:p>
        </w:tc>
        <w:tc>
          <w:tcPr/>
          <w:p>
            <w:pPr>
              <w:pStyle w:val="Compact"/>
              <w:jc w:val="left"/>
            </w:pPr>
            <w:r>
              <w:t xml:space="preserve">-₹6,44,976</w:t>
            </w:r>
          </w:p>
        </w:tc>
        <w:tc>
          <w:tcPr/>
          <w:p>
            <w:pPr>
              <w:pStyle w:val="Compact"/>
              <w:jc w:val="left"/>
            </w:pPr>
            <w:r>
              <w:t xml:space="preserve">₹4,06,195</w:t>
            </w:r>
          </w:p>
        </w:tc>
      </w:tr>
      <w:tr>
        <w:tc>
          <w:tcPr/>
          <w:p>
            <w:pPr>
              <w:pStyle w:val="Compact"/>
              <w:jc w:val="left"/>
            </w:pPr>
            <w:r>
              <w:t xml:space="preserve">M5 · Nov-27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-₹7,60,476</w:t>
            </w:r>
          </w:p>
        </w:tc>
        <w:tc>
          <w:tcPr/>
          <w:p>
            <w:pPr>
              <w:pStyle w:val="Compact"/>
              <w:jc w:val="left"/>
            </w:pPr>
            <w:r>
              <w:t xml:space="preserve">₹2,90,695</w:t>
            </w:r>
          </w:p>
        </w:tc>
      </w:tr>
      <w:tr>
        <w:tc>
          <w:tcPr/>
          <w:p>
            <w:pPr>
              <w:pStyle w:val="Compact"/>
              <w:jc w:val="left"/>
            </w:pPr>
            <w:r>
              <w:t xml:space="preserve">M6 · Dec-27</w:t>
            </w:r>
          </w:p>
        </w:tc>
        <w:tc>
          <w:tcPr/>
          <w:p>
            <w:pPr>
              <w:pStyle w:val="Compact"/>
              <w:jc w:val="left"/>
            </w:pPr>
            <w:r>
              <w:t xml:space="preserve">₹1,15,500</w:t>
            </w:r>
          </w:p>
        </w:tc>
        <w:tc>
          <w:tcPr/>
          <w:p>
            <w:pPr>
              <w:pStyle w:val="Compact"/>
              <w:jc w:val="left"/>
            </w:pPr>
            <w:r>
              <w:t xml:space="preserve">₹0</w:t>
            </w:r>
          </w:p>
        </w:tc>
        <w:tc>
          <w:tcPr/>
          <w:p>
            <w:pPr>
              <w:pStyle w:val="Compact"/>
              <w:jc w:val="left"/>
            </w:pPr>
            <w:r>
              <w:t xml:space="preserve">-₹1,15,500</w:t>
            </w:r>
          </w:p>
        </w:tc>
        <w:tc>
          <w:tcPr/>
          <w:p>
            <w:pPr>
              <w:pStyle w:val="Compact"/>
              <w:jc w:val="left"/>
            </w:pPr>
            <w:r>
              <w:t xml:space="preserve">-₹8,75,976</w:t>
            </w:r>
          </w:p>
        </w:tc>
        <w:tc>
          <w:tcPr/>
          <w:p>
            <w:pPr>
              <w:pStyle w:val="Compact"/>
              <w:jc w:val="left"/>
            </w:pPr>
            <w:r>
              <w:t xml:space="preserve">₹1,75,195</w:t>
            </w:r>
          </w:p>
        </w:tc>
      </w:tr>
      <w:tr>
        <w:tc>
          <w:tcPr/>
          <w:p>
            <w:pPr>
              <w:pStyle w:val="Compact"/>
              <w:jc w:val="left"/>
            </w:pPr>
            <w:r>
              <w:t xml:space="preserve">M7 · Jan-28</w:t>
            </w:r>
          </w:p>
        </w:tc>
        <w:tc>
          <w:tcPr/>
          <w:p>
            <w:pPr>
              <w:pStyle w:val="Compact"/>
              <w:jc w:val="left"/>
            </w:pPr>
            <w:r>
              <w:t xml:space="preserve">₹2,80,500</w:t>
            </w:r>
          </w:p>
        </w:tc>
        <w:tc>
          <w:tcPr/>
          <w:p>
            <w:pPr>
              <w:pStyle w:val="Compact"/>
              <w:jc w:val="left"/>
            </w:pPr>
            <w:r>
              <w:t xml:space="preserve">₹0</w:t>
            </w:r>
          </w:p>
        </w:tc>
        <w:tc>
          <w:tcPr/>
          <w:p>
            <w:pPr>
              <w:pStyle w:val="Compact"/>
              <w:jc w:val="left"/>
            </w:pPr>
            <w:r>
              <w:t xml:space="preserve">-₹2,80,500</w:t>
            </w:r>
          </w:p>
        </w:tc>
        <w:tc>
          <w:tcPr/>
          <w:p>
            <w:pPr>
              <w:pStyle w:val="Compact"/>
              <w:jc w:val="left"/>
            </w:pPr>
            <w:r>
              <w:t xml:space="preserve">-₹11,56,476</w:t>
            </w:r>
          </w:p>
        </w:tc>
        <w:tc>
          <w:tcPr/>
          <w:p>
            <w:pPr>
              <w:pStyle w:val="Compact"/>
              <w:jc w:val="left"/>
            </w:pPr>
            <w:r>
              <w:t xml:space="preserve">-₹1,05,305</w:t>
            </w:r>
          </w:p>
        </w:tc>
      </w:tr>
      <w:tr>
        <w:tc>
          <w:tcPr/>
          <w:p>
            <w:pPr>
              <w:pStyle w:val="Compact"/>
              <w:jc w:val="left"/>
            </w:pPr>
            <w:r>
              <w:t xml:space="preserve">M8 · Feb-28</w:t>
            </w:r>
          </w:p>
        </w:tc>
        <w:tc>
          <w:tcPr/>
          <w:p>
            <w:pPr>
              <w:pStyle w:val="Compact"/>
              <w:jc w:val="left"/>
            </w:pPr>
            <w:r>
              <w:t xml:space="preserve">₹1,87,000</w:t>
            </w:r>
          </w:p>
        </w:tc>
        <w:tc>
          <w:tcPr/>
          <w:p>
            <w:pPr>
              <w:pStyle w:val="Compact"/>
              <w:jc w:val="left"/>
            </w:pPr>
            <w:r>
              <w:t xml:space="preserve">₹0</w:t>
            </w:r>
          </w:p>
        </w:tc>
        <w:tc>
          <w:tcPr/>
          <w:p>
            <w:pPr>
              <w:pStyle w:val="Compact"/>
              <w:jc w:val="left"/>
            </w:pPr>
            <w:r>
              <w:t xml:space="preserve">-₹1,87,000</w:t>
            </w:r>
          </w:p>
        </w:tc>
        <w:tc>
          <w:tcPr/>
          <w:p>
            <w:pPr>
              <w:pStyle w:val="Compact"/>
              <w:jc w:val="left"/>
            </w:pPr>
            <w:r>
              <w:t xml:space="preserve">-₹13,43,476</w:t>
            </w:r>
          </w:p>
        </w:tc>
        <w:tc>
          <w:tcPr/>
          <w:p>
            <w:pPr>
              <w:pStyle w:val="Compact"/>
              <w:jc w:val="left"/>
            </w:pPr>
            <w:r>
              <w:t xml:space="preserve">-₹2,92,305</w:t>
            </w:r>
          </w:p>
        </w:tc>
      </w:tr>
      <w:tr>
        <w:tc>
          <w:tcPr/>
          <w:p>
            <w:pPr>
              <w:pStyle w:val="Compact"/>
              <w:jc w:val="left"/>
            </w:pPr>
            <w:r>
              <w:t xml:space="preserve">M9 · Mar-28</w:t>
            </w:r>
          </w:p>
        </w:tc>
        <w:tc>
          <w:tcPr/>
          <w:p>
            <w:pPr>
              <w:pStyle w:val="Compact"/>
              <w:jc w:val="left"/>
            </w:pPr>
            <w:r>
              <w:t xml:space="preserve">₹4,23,500</w:t>
            </w:r>
          </w:p>
        </w:tc>
        <w:tc>
          <w:tcPr/>
          <w:p>
            <w:pPr>
              <w:pStyle w:val="Compact"/>
              <w:jc w:val="left"/>
            </w:pPr>
            <w:r>
              <w:t xml:space="preserve">₹0</w:t>
            </w:r>
          </w:p>
        </w:tc>
        <w:tc>
          <w:tcPr/>
          <w:p>
            <w:pPr>
              <w:pStyle w:val="Compact"/>
              <w:jc w:val="left"/>
            </w:pPr>
            <w:r>
              <w:t xml:space="preserve">-₹4,23,500</w:t>
            </w:r>
          </w:p>
        </w:tc>
        <w:tc>
          <w:tcPr/>
          <w:p>
            <w:pPr>
              <w:pStyle w:val="Compact"/>
              <w:jc w:val="left"/>
            </w:pPr>
            <w:r>
              <w:t xml:space="preserve">-₹17,66,976</w:t>
            </w:r>
          </w:p>
        </w:tc>
        <w:tc>
          <w:tcPr/>
          <w:p>
            <w:pPr>
              <w:pStyle w:val="Compact"/>
              <w:jc w:val="left"/>
            </w:pPr>
            <w:r>
              <w:t xml:space="preserve">-₹7,15,805</w:t>
            </w:r>
          </w:p>
        </w:tc>
      </w:tr>
      <w:tr>
        <w:tc>
          <w:tcPr/>
          <w:p>
            <w:pPr>
              <w:pStyle w:val="Compact"/>
              <w:jc w:val="left"/>
            </w:pPr>
            <w:r>
              <w:t xml:space="preserve">M10 · Apr-28</w:t>
            </w:r>
          </w:p>
        </w:tc>
        <w:tc>
          <w:tcPr/>
          <w:p>
            <w:pPr>
              <w:pStyle w:val="Compact"/>
              <w:jc w:val="left"/>
            </w:pPr>
            <w:r>
              <w:t xml:space="preserve">₹4,42,915</w:t>
            </w:r>
          </w:p>
        </w:tc>
        <w:tc>
          <w:tcPr/>
          <w:p>
            <w:pPr>
              <w:pStyle w:val="Compact"/>
              <w:jc w:val="left"/>
            </w:pPr>
            <w:r>
              <w:t xml:space="preserve">₹58,308</w:t>
            </w:r>
          </w:p>
        </w:tc>
        <w:tc>
          <w:tcPr/>
          <w:p>
            <w:pPr>
              <w:pStyle w:val="Compact"/>
              <w:jc w:val="left"/>
            </w:pPr>
            <w:r>
              <w:t xml:space="preserve">-₹3,84,607</w:t>
            </w:r>
          </w:p>
        </w:tc>
        <w:tc>
          <w:tcPr/>
          <w:p>
            <w:pPr>
              <w:pStyle w:val="Compact"/>
              <w:jc w:val="left"/>
            </w:pPr>
            <w:r>
              <w:t xml:space="preserve">-₹21,51,582</w:t>
            </w:r>
          </w:p>
        </w:tc>
        <w:tc>
          <w:tcPr/>
          <w:p>
            <w:pPr>
              <w:pStyle w:val="Compact"/>
              <w:jc w:val="left"/>
            </w:pPr>
            <w:r>
              <w:t xml:space="preserve">-₹11,00,411</w:t>
            </w:r>
          </w:p>
        </w:tc>
      </w:tr>
      <w:tr>
        <w:tc>
          <w:tcPr/>
          <w:p>
            <w:pPr>
              <w:pStyle w:val="Compact"/>
              <w:jc w:val="left"/>
            </w:pPr>
            <w:r>
              <w:t xml:space="preserve">M11 · May-28</w:t>
            </w:r>
          </w:p>
        </w:tc>
        <w:tc>
          <w:tcPr/>
          <w:p>
            <w:pPr>
              <w:pStyle w:val="Compact"/>
              <w:jc w:val="left"/>
            </w:pPr>
            <w:r>
              <w:t xml:space="preserve">₹6,68,841</w:t>
            </w:r>
          </w:p>
        </w:tc>
        <w:tc>
          <w:tcPr/>
          <w:p>
            <w:pPr>
              <w:pStyle w:val="Compact"/>
              <w:jc w:val="left"/>
            </w:pPr>
            <w:r>
              <w:t xml:space="preserve">₹0</w:t>
            </w:r>
          </w:p>
        </w:tc>
        <w:tc>
          <w:tcPr/>
          <w:p>
            <w:pPr>
              <w:pStyle w:val="Compact"/>
              <w:jc w:val="left"/>
            </w:pPr>
            <w:r>
              <w:t xml:space="preserve">-₹6,68,841</w:t>
            </w:r>
          </w:p>
        </w:tc>
        <w:tc>
          <w:tcPr/>
          <w:p>
            <w:pPr>
              <w:pStyle w:val="Compact"/>
              <w:jc w:val="left"/>
            </w:pPr>
            <w:r>
              <w:t xml:space="preserve">-₹28,20,423</w:t>
            </w:r>
          </w:p>
        </w:tc>
        <w:tc>
          <w:tcPr/>
          <w:p>
            <w:pPr>
              <w:pStyle w:val="Compact"/>
              <w:jc w:val="left"/>
            </w:pPr>
            <w:r>
              <w:t xml:space="preserve">-₹17,69,252</w:t>
            </w:r>
          </w:p>
        </w:tc>
      </w:tr>
      <w:tr>
        <w:tc>
          <w:tcPr/>
          <w:p>
            <w:pPr>
              <w:pStyle w:val="Compact"/>
              <w:jc w:val="left"/>
            </w:pPr>
            <w:r>
              <w:t xml:space="preserve">M12 · Jun-28</w:t>
            </w:r>
          </w:p>
        </w:tc>
        <w:tc>
          <w:tcPr/>
          <w:p>
            <w:pPr>
              <w:pStyle w:val="Compact"/>
              <w:jc w:val="left"/>
            </w:pPr>
            <w:r>
              <w:t xml:space="preserve">₹2,77,915</w:t>
            </w:r>
          </w:p>
        </w:tc>
        <w:tc>
          <w:tcPr/>
          <w:p>
            <w:pPr>
              <w:pStyle w:val="Compact"/>
              <w:jc w:val="left"/>
            </w:pPr>
            <w:r>
              <w:t xml:space="preserve">₹1,68,833</w:t>
            </w:r>
          </w:p>
        </w:tc>
        <w:tc>
          <w:tcPr/>
          <w:p>
            <w:pPr>
              <w:pStyle w:val="Compact"/>
              <w:jc w:val="left"/>
            </w:pPr>
            <w:r>
              <w:t xml:space="preserve">-₹1,09,082</w:t>
            </w:r>
          </w:p>
        </w:tc>
        <w:tc>
          <w:tcPr/>
          <w:p>
            <w:pPr>
              <w:pStyle w:val="Compact"/>
              <w:jc w:val="left"/>
            </w:pPr>
            <w:r>
              <w:t xml:space="preserve">-₹29,29,505</w:t>
            </w:r>
          </w:p>
        </w:tc>
        <w:tc>
          <w:tcPr/>
          <w:p>
            <w:pPr>
              <w:pStyle w:val="Compact"/>
              <w:jc w:val="left"/>
            </w:pPr>
            <w:r>
              <w:t xml:space="preserve">-₹18,78,334</w:t>
            </w:r>
          </w:p>
        </w:tc>
      </w:tr>
    </w:tbl>
    <w:p>
      <w:pPr>
        <w:pStyle w:val="BodyText"/>
      </w:pPr>
      <w:r>
        <w:t xml:space="preserve">Closing cash = ₹10.51 L raised − cumulative net outflow (Funding Scenarios sheet, Scenario C: Round 1 only, no grant). Negative closing cash means tranche 2 must already have closed.</w:t>
      </w:r>
    </w:p>
    <w:bookmarkEnd w:id="70"/>
    <w:bookmarkStart w:id="71" w:name="burn-runway-and-zero-cash-date"/>
    <w:p>
      <w:pPr>
        <w:pStyle w:val="Heading2"/>
      </w:pPr>
      <w:r>
        <w:t xml:space="preserve">3. Burn, runway and zero-cash date</w:t>
      </w:r>
    </w:p>
    <w:p>
      <w:pPr>
        <w:numPr>
          <w:ilvl w:val="0"/>
          <w:numId w:val="1004"/>
        </w:numPr>
        <w:pStyle w:val="Compact"/>
      </w:pPr>
      <w:r>
        <w:t xml:space="preserve">Phase-1 burn (M1–M6) = ₹8,75,976 ÷ 6 =</w:t>
      </w:r>
      <w:r>
        <w:t xml:space="preserve"> </w:t>
      </w:r>
      <w:r>
        <w:rPr>
          <w:bCs/>
          <w:b/>
        </w:rPr>
        <w:t xml:space="preserve">₹1,45,996/month</w:t>
      </w:r>
      <w:r>
        <w:t xml:space="preserve"> </w:t>
      </w:r>
      <w:r>
        <w:t xml:space="preserve">(no cash in).</w:t>
      </w:r>
    </w:p>
    <w:p>
      <w:pPr>
        <w:numPr>
          <w:ilvl w:val="0"/>
          <w:numId w:val="1004"/>
        </w:numPr>
        <w:pStyle w:val="Compact"/>
      </w:pPr>
      <w:r>
        <w:t xml:space="preserve">Year-1 gross burn = ₹31,56,646 ÷ 12 =</w:t>
      </w:r>
      <w:r>
        <w:t xml:space="preserve"> </w:t>
      </w:r>
      <w:r>
        <w:rPr>
          <w:bCs/>
          <w:b/>
        </w:rPr>
        <w:t xml:space="preserve">₹2,63,054/month</w:t>
      </w:r>
      <w:r>
        <w:t xml:space="preserve">; net burn after ₹2,27,141 cash in =</w:t>
      </w:r>
      <w:r>
        <w:t xml:space="preserve"> </w:t>
      </w:r>
      <w:r>
        <w:rPr>
          <w:bCs/>
          <w:b/>
        </w:rPr>
        <w:t xml:space="preserve">₹2,44,125/month</w:t>
      </w:r>
      <w:r>
        <w:t xml:space="preserve">.</w:t>
      </w:r>
    </w:p>
    <w:p>
      <w:pPr>
        <w:numPr>
          <w:ilvl w:val="0"/>
          <w:numId w:val="1004"/>
        </w:numPr>
        <w:pStyle w:val="Compact"/>
      </w:pPr>
      <w:r>
        <w:t xml:space="preserve">Runway on this round = ₹10,51,171 ÷ ₹1,45,996 =</w:t>
      </w:r>
      <w:r>
        <w:t xml:space="preserve"> </w:t>
      </w:r>
      <w:r>
        <w:rPr>
          <w:bCs/>
          <w:b/>
        </w:rPr>
        <w:t xml:space="preserve">7.2 months</w:t>
      </w:r>
      <w:r>
        <w:t xml:space="preserve"> </w:t>
      </w:r>
      <w:r>
        <w:t xml:space="preserve">at Phase-1 burn.</w:t>
      </w:r>
    </w:p>
    <w:p>
      <w:pPr>
        <w:numPr>
          <w:ilvl w:val="0"/>
          <w:numId w:val="1004"/>
        </w:numPr>
        <w:pStyle w:val="Compact"/>
      </w:pPr>
      <w:r>
        <w:rPr>
          <w:bCs/>
          <w:b/>
        </w:rPr>
        <w:t xml:space="preserve">Projected zero-cash date: January 2028 (M7)</w:t>
      </w:r>
      <w:r>
        <w:t xml:space="preserve">, when Phase-2 spending starts. Tranche 2 (₹37.71 L) must close by then; if it is late, hiring, inventory and testing pause and the buffer stretches to about M14.</w:t>
      </w:r>
    </w:p>
    <w:bookmarkEnd w:id="71"/>
    <w:bookmarkStart w:id="72" w:name="Xc968a6c51969c2aea0665fe33ff4738b47dec1b"/>
    <w:p>
      <w:pPr>
        <w:pStyle w:val="Heading2"/>
      </w:pPr>
      <w:r>
        <w:t xml:space="preserve">4. Bad-growth scenario (toggle: price cut to grow faster)</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Year-2 TremoSense</w:t>
            </w:r>
          </w:p>
        </w:tc>
        <w:tc>
          <w:tcPr/>
          <w:p>
            <w:pPr>
              <w:pStyle w:val="Compact"/>
              <w:jc w:val="left"/>
            </w:pPr>
            <w:r>
              <w:t xml:space="preserve">Normal plan</w:t>
            </w:r>
          </w:p>
        </w:tc>
        <w:tc>
          <w:tcPr/>
          <w:p>
            <w:pPr>
              <w:pStyle w:val="Compact"/>
              <w:jc w:val="left"/>
            </w:pPr>
            <w:r>
              <w:t xml:space="preserve">Bad growth</w:t>
            </w:r>
          </w:p>
        </w:tc>
      </w:tr>
      <w:tr>
        <w:tc>
          <w:tcPr/>
          <w:p>
            <w:pPr>
              <w:pStyle w:val="Compact"/>
              <w:jc w:val="left"/>
            </w:pPr>
            <w:r>
              <w:t xml:space="preserve">Price</w:t>
            </w:r>
          </w:p>
        </w:tc>
        <w:tc>
          <w:tcPr/>
          <w:p>
            <w:pPr>
              <w:pStyle w:val="Compact"/>
              <w:jc w:val="left"/>
            </w:pPr>
            <w:r>
              <w:t xml:space="preserve">₹9,999</w:t>
            </w:r>
          </w:p>
        </w:tc>
        <w:tc>
          <w:tcPr/>
          <w:p>
            <w:pPr>
              <w:pStyle w:val="Compact"/>
              <w:jc w:val="left"/>
            </w:pPr>
            <w:r>
              <w:t xml:space="preserve">₹5,999 (discount to chase volume)</w:t>
            </w:r>
          </w:p>
        </w:tc>
      </w:tr>
      <w:tr>
        <w:tc>
          <w:tcPr/>
          <w:p>
            <w:pPr>
              <w:pStyle w:val="Compact"/>
              <w:jc w:val="left"/>
            </w:pPr>
            <w:r>
              <w:t xml:space="preserve">Units sold</w:t>
            </w:r>
          </w:p>
        </w:tc>
        <w:tc>
          <w:tcPr/>
          <w:p>
            <w:pPr>
              <w:pStyle w:val="Compact"/>
              <w:jc w:val="left"/>
            </w:pPr>
            <w:r>
              <w:t xml:space="preserve">695</w:t>
            </w:r>
          </w:p>
        </w:tc>
        <w:tc>
          <w:tcPr/>
          <w:p>
            <w:pPr>
              <w:pStyle w:val="Compact"/>
              <w:jc w:val="left"/>
            </w:pPr>
            <w:r>
              <w:t xml:space="preserve">1,390 (twice the volume)</w:t>
            </w:r>
          </w:p>
        </w:tc>
      </w:tr>
      <w:tr>
        <w:tc>
          <w:tcPr/>
          <w:p>
            <w:pPr>
              <w:pStyle w:val="Compact"/>
              <w:jc w:val="left"/>
            </w:pPr>
            <w:r>
              <w:t xml:space="preserve">Contribution per unit (Scenario B cost)</w:t>
            </w:r>
          </w:p>
        </w:tc>
        <w:tc>
          <w:tcPr/>
          <w:p>
            <w:pPr>
              <w:pStyle w:val="Compact"/>
              <w:jc w:val="left"/>
            </w:pPr>
            <w:r>
              <w:t xml:space="preserve">₹2,538</w:t>
            </w:r>
          </w:p>
        </w:tc>
        <w:tc>
          <w:tcPr/>
          <w:p>
            <w:pPr>
              <w:pStyle w:val="Compact"/>
              <w:jc w:val="left"/>
            </w:pPr>
            <w:r>
              <w:t xml:space="preserve">-₹510</w:t>
            </w:r>
          </w:p>
        </w:tc>
      </w:tr>
      <w:tr>
        <w:tc>
          <w:tcPr/>
          <w:p>
            <w:pPr>
              <w:pStyle w:val="Compact"/>
              <w:jc w:val="left"/>
            </w:pPr>
            <w:r>
              <w:t xml:space="preserve">CAC per customer</w:t>
            </w:r>
          </w:p>
        </w:tc>
        <w:tc>
          <w:tcPr/>
          <w:p>
            <w:pPr>
              <w:pStyle w:val="Compact"/>
              <w:jc w:val="left"/>
            </w:pPr>
            <w:r>
              <w:t xml:space="preserve">₹1,079</w:t>
            </w:r>
          </w:p>
        </w:tc>
        <w:tc>
          <w:tcPr/>
          <w:p>
            <w:pPr>
              <w:pStyle w:val="Compact"/>
              <w:jc w:val="left"/>
            </w:pPr>
            <w:r>
              <w:t xml:space="preserve">₹1,079</w:t>
            </w:r>
          </w:p>
        </w:tc>
      </w:tr>
      <w:tr>
        <w:tc>
          <w:tcPr/>
          <w:p>
            <w:pPr>
              <w:pStyle w:val="Compact"/>
              <w:jc w:val="left"/>
            </w:pPr>
            <w:r>
              <w:t xml:space="preserve">Contribution − CAC per customer</w:t>
            </w:r>
          </w:p>
        </w:tc>
        <w:tc>
          <w:tcPr/>
          <w:p>
            <w:pPr>
              <w:pStyle w:val="Compact"/>
              <w:jc w:val="left"/>
            </w:pPr>
            <w:r>
              <w:t xml:space="preserve">₹1,459</w:t>
            </w:r>
          </w:p>
        </w:tc>
        <w:tc>
          <w:tcPr/>
          <w:p>
            <w:pPr>
              <w:pStyle w:val="Compact"/>
              <w:jc w:val="left"/>
            </w:pPr>
            <w:r>
              <w:t xml:space="preserve">-₹1,589</w:t>
            </w:r>
          </w:p>
        </w:tc>
      </w:tr>
      <w:tr>
        <w:tc>
          <w:tcPr/>
          <w:p>
            <w:pPr>
              <w:pStyle w:val="Compact"/>
              <w:jc w:val="left"/>
            </w:pPr>
            <w:r>
              <w:rPr>
                <w:bCs/>
                <w:b/>
              </w:rPr>
              <w:t xml:space="preserve">Total effect on cash</w:t>
            </w:r>
          </w:p>
        </w:tc>
        <w:tc>
          <w:tcPr/>
          <w:p>
            <w:pPr>
              <w:pStyle w:val="Compact"/>
              <w:jc w:val="left"/>
            </w:pPr>
            <w:r>
              <w:rPr>
                <w:bCs/>
                <w:b/>
              </w:rPr>
              <w:t xml:space="preserve">₹10,14,005</w:t>
            </w:r>
          </w:p>
        </w:tc>
        <w:tc>
          <w:tcPr/>
          <w:p>
            <w:pPr>
              <w:pStyle w:val="Compact"/>
              <w:jc w:val="left"/>
            </w:pPr>
            <w:r>
              <w:rPr>
                <w:bCs/>
                <w:b/>
              </w:rPr>
              <w:t xml:space="preserve">-₹22,08,710</w:t>
            </w:r>
          </w:p>
        </w:tc>
      </w:tr>
    </w:tbl>
    <w:p>
      <w:pPr>
        <w:pStyle w:val="BodyText"/>
      </w:pPr>
      <w:r>
        <w:t xml:space="preserve">In the bad-growth case every extra customer loses ₹1,589, so doubling volume deepens the loss by ₹32.23 L versus the plan and pulls the zero-cash date earlier. This is why the plan holds ₹9,999 until a verified cost reduction (Scenario C) makes ₹8,999 profitable.</w:t>
      </w:r>
      <w:r>
        <w:t xml:space="preserve"> </w:t>
      </w:r>
      <w:r>
        <w:t xml:space="preserve">(Illustrative toggle built from the model's Price Matrix; not a separate sheet in the workbook.)</w:t>
      </w:r>
    </w:p>
    <w:bookmarkEnd w:id="72"/>
    <w:bookmarkEnd w:id="73"/>
    <w:bookmarkStart w:id="79" w:name="M3.3"/>
    <w:p>
      <w:pPr>
        <w:pStyle w:val="BodyText"/>
      </w:pPr>
      <w:r>
        <w:t xml:space="preserve">M3 · Activity 3 · Mandatory Model M3.3</w:t>
      </w:r>
    </w:p>
    <w:bookmarkStart w:id="74" w:name="legal-structure-gst-compliance-blueprint"/>
    <w:p>
      <w:pPr>
        <w:pStyle w:val="Heading1"/>
      </w:pPr>
      <w:r>
        <w:t xml:space="preserve">Legal-Structure, GST &amp; Compliance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3</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74"/>
    <w:p>
      <w:pPr>
        <w:pStyle w:val="BodyText"/>
      </w:pPr>
      <w:r>
        <w:t xml:space="preserve">Educational blueprint, not legal or tax advice. GST rates and HSN codes for TremoSense (assumed 5%) and ParkinSense (assumed 18%) must be confirmed with a chartered accountant.</w:t>
      </w:r>
    </w:p>
    <w:bookmarkStart w:id="75" w:name="structure-comparison-for-averra"/>
    <w:p>
      <w:pPr>
        <w:pStyle w:val="Heading2"/>
      </w:pPr>
      <w:r>
        <w:t xml:space="preserve">1. Structure comparison for AVERRA</w:t>
      </w:r>
    </w:p>
    <w:tbl>
      <w:tblPr>
        <w:tblStyle w:val="Table"/>
        <w:tblW w:type="pct" w:w="5000"/>
        <w:tblLook w:firstRow="1" w:lastRow="0" w:firstColumn="0" w:lastColumn="0" w:noHBand="0" w:noVBand="0" w:val="0020"/>
        <w:jc w:val="start"/>
      </w:tblPr>
      <w:tblGrid>
        <w:gridCol w:w="1900"/>
        <w:gridCol w:w="1425"/>
        <w:gridCol w:w="1425"/>
        <w:gridCol w:w="1425"/>
        <w:gridCol w:w="1742"/>
      </w:tblGrid>
      <w:tr>
        <w:trPr>
          <w:tblHeader w:val="true"/>
        </w:trPr>
        <w:tc>
          <w:tcPr/>
          <w:p>
            <w:pPr>
              <w:pStyle w:val="Compact"/>
            </w:pPr>
          </w:p>
        </w:tc>
        <w:tc>
          <w:tcPr/>
          <w:p>
            <w:pPr>
              <w:pStyle w:val="Compact"/>
              <w:jc w:val="left"/>
            </w:pPr>
            <w:r>
              <w:t xml:space="preserve">Proprietorship</w:t>
            </w:r>
          </w:p>
        </w:tc>
        <w:tc>
          <w:tcPr/>
          <w:p>
            <w:pPr>
              <w:pStyle w:val="Compact"/>
              <w:jc w:val="left"/>
            </w:pPr>
            <w:r>
              <w:t xml:space="preserve">Partnership</w:t>
            </w:r>
          </w:p>
        </w:tc>
        <w:tc>
          <w:tcPr/>
          <w:p>
            <w:pPr>
              <w:pStyle w:val="Compact"/>
              <w:jc w:val="left"/>
            </w:pPr>
            <w:r>
              <w:t xml:space="preserve">LLP</w:t>
            </w:r>
          </w:p>
        </w:tc>
        <w:tc>
          <w:tcPr/>
          <w:p>
            <w:pPr>
              <w:pStyle w:val="Compact"/>
              <w:jc w:val="left"/>
            </w:pPr>
            <w:r>
              <w:t xml:space="preserve">Private Limited</w:t>
            </w:r>
          </w:p>
        </w:tc>
      </w:tr>
      <w:tr>
        <w:tc>
          <w:tcPr/>
          <w:p>
            <w:pPr>
              <w:pStyle w:val="Compact"/>
              <w:jc w:val="left"/>
            </w:pPr>
            <w:r>
              <w:t xml:space="preserve">Liability</w:t>
            </w:r>
          </w:p>
        </w:tc>
        <w:tc>
          <w:tcPr/>
          <w:p>
            <w:pPr>
              <w:pStyle w:val="Compact"/>
              <w:jc w:val="left"/>
            </w:pPr>
            <w:r>
              <w:t xml:space="preserve">Unlimited, personal</w:t>
            </w:r>
          </w:p>
        </w:tc>
        <w:tc>
          <w:tcPr/>
          <w:p>
            <w:pPr>
              <w:pStyle w:val="Compact"/>
              <w:jc w:val="left"/>
            </w:pPr>
            <w:r>
              <w:t xml:space="preserve">Unlimited, joint</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Paperwork</w:t>
            </w:r>
          </w:p>
        </w:tc>
        <w:tc>
          <w:tcPr/>
          <w:p>
            <w:pPr>
              <w:pStyle w:val="Compact"/>
              <w:jc w:val="left"/>
            </w:pPr>
            <w:r>
              <w:t xml:space="preserve">Lowest</w:t>
            </w:r>
          </w:p>
        </w:tc>
        <w:tc>
          <w:tcPr/>
          <w:p>
            <w:pPr>
              <w:pStyle w:val="Compact"/>
              <w:jc w:val="left"/>
            </w:pPr>
            <w:r>
              <w:t xml:space="preserve">Low (deed)</w:t>
            </w:r>
          </w:p>
        </w:tc>
        <w:tc>
          <w:tcPr/>
          <w:p>
            <w:pPr>
              <w:pStyle w:val="Compact"/>
              <w:jc w:val="left"/>
            </w:pPr>
            <w:r>
              <w:t xml:space="preserve">Moderate (annual LLP filings)</w:t>
            </w:r>
          </w:p>
        </w:tc>
        <w:tc>
          <w:tcPr/>
          <w:p>
            <w:pPr>
              <w:pStyle w:val="Compact"/>
              <w:jc w:val="left"/>
            </w:pPr>
            <w:r>
              <w:t xml:space="preserve">Highest (ROC filings, audit, board meetings)</w:t>
            </w:r>
          </w:p>
        </w:tc>
      </w:tr>
      <w:tr>
        <w:tc>
          <w:tcPr/>
          <w:p>
            <w:pPr>
              <w:pStyle w:val="Compact"/>
              <w:jc w:val="left"/>
            </w:pPr>
            <w:r>
              <w:t xml:space="preserve">Raising equity</w:t>
            </w:r>
          </w:p>
        </w:tc>
        <w:tc>
          <w:tcPr/>
          <w:p>
            <w:pPr>
              <w:pStyle w:val="Compact"/>
              <w:jc w:val="left"/>
            </w:pPr>
            <w:r>
              <w:t xml:space="preserve">Not possible</w:t>
            </w:r>
          </w:p>
        </w:tc>
        <w:tc>
          <w:tcPr/>
          <w:p>
            <w:pPr>
              <w:pStyle w:val="Compact"/>
              <w:jc w:val="left"/>
            </w:pPr>
            <w:r>
              <w:t xml:space="preserve">Not practical</w:t>
            </w:r>
          </w:p>
        </w:tc>
        <w:tc>
          <w:tcPr/>
          <w:p>
            <w:pPr>
              <w:pStyle w:val="Compact"/>
              <w:jc w:val="left"/>
            </w:pPr>
            <w:r>
              <w:t xml:space="preserve">No equity shares; VCs rarely invest</w:t>
            </w:r>
          </w:p>
        </w:tc>
        <w:tc>
          <w:tcPr/>
          <w:p>
            <w:pPr>
              <w:pStyle w:val="Compact"/>
              <w:jc w:val="left"/>
            </w:pPr>
            <w:r>
              <w:t xml:space="preserve">Equity shares, SAFEs/CCPS, ESOPs; standard for investors</w:t>
            </w:r>
          </w:p>
        </w:tc>
      </w:tr>
      <w:tr>
        <w:tc>
          <w:tcPr/>
          <w:p>
            <w:pPr>
              <w:pStyle w:val="Compact"/>
              <w:jc w:val="left"/>
            </w:pPr>
            <w:r>
              <w:t xml:space="preserve">DPIIT / Startup India / SISFS</w:t>
            </w:r>
          </w:p>
        </w:tc>
        <w:tc>
          <w:tcPr/>
          <w:p>
            <w:pPr>
              <w:pStyle w:val="Compact"/>
              <w:jc w:val="left"/>
            </w:pPr>
            <w:r>
              <w:t xml:space="preserve">No</w:t>
            </w:r>
          </w:p>
        </w:tc>
        <w:tc>
          <w:tcPr/>
          <w:p>
            <w:pPr>
              <w:pStyle w:val="Compact"/>
              <w:jc w:val="left"/>
            </w:pPr>
            <w:r>
              <w:t xml:space="preserve">Registered firms eligible</w:t>
            </w:r>
          </w:p>
        </w:tc>
        <w:tc>
          <w:tcPr/>
          <w:p>
            <w:pPr>
              <w:pStyle w:val="Compact"/>
              <w:jc w:val="left"/>
            </w:pPr>
            <w:r>
              <w:t xml:space="preserve">Eligible</w:t>
            </w:r>
          </w:p>
        </w:tc>
        <w:tc>
          <w:tcPr/>
          <w:p>
            <w:pPr>
              <w:pStyle w:val="Compact"/>
              <w:jc w:val="left"/>
            </w:pPr>
            <w:r>
              <w:t xml:space="preserve">Eligible</w:t>
            </w:r>
          </w:p>
        </w:tc>
      </w:tr>
      <w:tr>
        <w:tc>
          <w:tcPr/>
          <w:p>
            <w:pPr>
              <w:pStyle w:val="Compact"/>
              <w:jc w:val="left"/>
            </w:pPr>
            <w:r>
              <w:t xml:space="preserve">Fit for a two-founder medical-device startup</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Cs/>
                <w:b/>
              </w:rPr>
              <w:t xml:space="preserve">Best fit</w:t>
            </w:r>
          </w:p>
        </w:tc>
      </w:tr>
    </w:tbl>
    <w:p>
      <w:pPr>
        <w:pStyle w:val="BodyText"/>
      </w:pPr>
      <w:r>
        <w:rPr>
          <w:bCs/>
          <w:b/>
        </w:rPr>
        <w:t xml:space="preserve">Recommendation: Private Limited.</w:t>
      </w:r>
      <w:r>
        <w:t xml:space="preserve"> </w:t>
      </w:r>
      <w:r>
        <w:t xml:space="preserve">We plan to raise equity in two tranches and grant ESOPs, which needs shares; limited liability matters for a device used on the body; and DPIIT recognition plus the Startup India Seed Fund application (applied for, not secured) require a recognised entity.</w:t>
      </w:r>
    </w:p>
    <w:bookmarkEnd w:id="75"/>
    <w:bookmarkStart w:id="76" w:name="X964156e87913c643506855185b2bd025672fd6a"/>
    <w:p>
      <w:pPr>
        <w:pStyle w:val="Heading2"/>
      </w:pPr>
      <w:r>
        <w:t xml:space="preserve">2. Mock GST calculation (hypothetical example, per unit)</w:t>
      </w:r>
    </w:p>
    <w:tbl>
      <w:tblPr>
        <w:tblStyle w:val="Table"/>
        <w:tblW w:type="pct" w:w="5000"/>
        <w:tblLook w:firstRow="1" w:lastRow="0" w:firstColumn="0" w:lastColumn="0" w:noHBand="0" w:noVBand="0" w:val="0020"/>
        <w:jc w:val="start"/>
      </w:tblPr>
      <w:tblGrid>
        <w:gridCol w:w="2376"/>
        <w:gridCol w:w="3009"/>
        <w:gridCol w:w="2534"/>
      </w:tblGrid>
      <w:tr>
        <w:trPr>
          <w:tblHeader w:val="true"/>
        </w:trPr>
        <w:tc>
          <w:tcPr/>
          <w:p>
            <w:pPr>
              <w:pStyle w:val="Compact"/>
            </w:pPr>
          </w:p>
        </w:tc>
        <w:tc>
          <w:tcPr/>
          <w:p>
            <w:pPr>
              <w:pStyle w:val="Compact"/>
              <w:jc w:val="left"/>
            </w:pPr>
            <w:r>
              <w:t xml:space="preserve">TremoSense @ ₹9,999 (5% assumed)</w:t>
            </w:r>
          </w:p>
        </w:tc>
        <w:tc>
          <w:tcPr/>
          <w:p>
            <w:pPr>
              <w:pStyle w:val="Compact"/>
              <w:jc w:val="left"/>
            </w:pPr>
            <w:r>
              <w:t xml:space="preserve">ParkinSense @ ₹7,999 (18% assumed)</w:t>
            </w:r>
          </w:p>
        </w:tc>
      </w:tr>
      <w:tr>
        <w:tc>
          <w:tcPr/>
          <w:p>
            <w:pPr>
              <w:pStyle w:val="Compact"/>
              <w:jc w:val="left"/>
            </w:pPr>
            <w:r>
              <w:t xml:space="preserve">Output GST charged to customer</w:t>
            </w:r>
          </w:p>
        </w:tc>
        <w:tc>
          <w:tcPr/>
          <w:p>
            <w:pPr>
              <w:pStyle w:val="Compact"/>
              <w:jc w:val="left"/>
            </w:pPr>
            <w:r>
              <w:t xml:space="preserve">₹9,999 − ₹9,999/1.05 = ₹476</w:t>
            </w:r>
          </w:p>
        </w:tc>
        <w:tc>
          <w:tcPr/>
          <w:p>
            <w:pPr>
              <w:pStyle w:val="Compact"/>
              <w:jc w:val="left"/>
            </w:pPr>
            <w:r>
              <w:t xml:space="preserve">₹7,999 − ₹7,999/1.18 = ₹1,220</w:t>
            </w:r>
          </w:p>
        </w:tc>
      </w:tr>
      <w:tr>
        <w:tc>
          <w:tcPr/>
          <w:p>
            <w:pPr>
              <w:pStyle w:val="Compact"/>
              <w:jc w:val="left"/>
            </w:pPr>
            <w:r>
              <w:t xml:space="preserve">Input tax credit on purchases (18% on bought-in parts)</w:t>
            </w:r>
          </w:p>
        </w:tc>
        <w:tc>
          <w:tcPr/>
          <w:p>
            <w:pPr>
              <w:pStyle w:val="Compact"/>
              <w:jc w:val="left"/>
            </w:pPr>
            <w:r>
              <w:t xml:space="preserve">(COGS ₹4,830 − labour/QC ₹600) × 18% = ₹761</w:t>
            </w:r>
          </w:p>
        </w:tc>
        <w:tc>
          <w:tcPr/>
          <w:p>
            <w:pPr>
              <w:pStyle w:val="Compact"/>
              <w:jc w:val="left"/>
            </w:pPr>
            <w:r>
              <w:t xml:space="preserve">COGS ₹3,530 × 18% = ₹635</w:t>
            </w:r>
          </w:p>
        </w:tc>
      </w:tr>
      <w:tr>
        <w:tc>
          <w:tcPr/>
          <w:p>
            <w:pPr>
              <w:pStyle w:val="Compact"/>
              <w:jc w:val="left"/>
            </w:pPr>
            <w:r>
              <w:rPr>
                <w:bCs/>
                <w:b/>
              </w:rPr>
              <w:t xml:space="preserve">Net GST payable</w:t>
            </w:r>
          </w:p>
        </w:tc>
        <w:tc>
          <w:tcPr/>
          <w:p>
            <w:pPr>
              <w:pStyle w:val="Compact"/>
              <w:jc w:val="left"/>
            </w:pPr>
            <w:r>
              <w:rPr>
                <w:bCs/>
                <w:b/>
              </w:rPr>
              <w:t xml:space="preserve">-₹285</w:t>
            </w:r>
            <w:r>
              <w:t xml:space="preserve"> </w:t>
            </w:r>
            <w:r>
              <w:t xml:space="preserve">→ credit (inverted duty: input rate &gt; output rate; refund can be claimed under Sec 54(3), CGST Act)</w:t>
            </w:r>
          </w:p>
        </w:tc>
        <w:tc>
          <w:tcPr/>
          <w:p>
            <w:pPr>
              <w:pStyle w:val="Compact"/>
              <w:jc w:val="left"/>
            </w:pPr>
            <w:r>
              <w:rPr>
                <w:bCs/>
                <w:b/>
              </w:rPr>
              <w:t xml:space="preserve">₹585</w:t>
            </w:r>
            <w:r>
              <w:t xml:space="preserve"> </w:t>
            </w:r>
            <w:r>
              <w:t xml:space="preserve">payable</w:t>
            </w:r>
          </w:p>
        </w:tc>
      </w:tr>
      <w:tr>
        <w:tc>
          <w:tcPr/>
          <w:p>
            <w:pPr>
              <w:pStyle w:val="Compact"/>
              <w:jc w:val="left"/>
            </w:pPr>
            <w:r>
              <w:t xml:space="preserve">For 100 units</w:t>
            </w:r>
          </w:p>
        </w:tc>
        <w:tc>
          <w:tcPr/>
          <w:p>
            <w:pPr>
              <w:pStyle w:val="Compact"/>
              <w:jc w:val="left"/>
            </w:pPr>
            <w:r>
              <w:t xml:space="preserve">-₹28,526</w:t>
            </w:r>
          </w:p>
        </w:tc>
        <w:tc>
          <w:tcPr/>
          <w:p>
            <w:pPr>
              <w:pStyle w:val="Compact"/>
              <w:jc w:val="left"/>
            </w:pPr>
            <w:r>
              <w:t xml:space="preserve">₹58,479</w:t>
            </w:r>
          </w:p>
        </w:tc>
      </w:tr>
    </w:tbl>
    <w:bookmarkEnd w:id="76"/>
    <w:bookmarkStart w:id="77" w:name="X034a7c7c697bd8c3d3ded713306c3e66238a4d2"/>
    <w:p>
      <w:pPr>
        <w:pStyle w:val="Heading2"/>
      </w:pPr>
      <w:r>
        <w:t xml:space="preserve">3. First-year compliance calendar (to confirm with a CA/CS)</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When</w:t>
            </w:r>
          </w:p>
        </w:tc>
        <w:tc>
          <w:tcPr/>
          <w:p>
            <w:pPr>
              <w:pStyle w:val="Compact"/>
              <w:jc w:val="left"/>
            </w:pPr>
            <w:r>
              <w:t xml:space="preserve">Filing / task</w:t>
            </w:r>
          </w:p>
        </w:tc>
      </w:tr>
      <w:tr>
        <w:tc>
          <w:tcPr/>
          <w:p>
            <w:pPr>
              <w:pStyle w:val="Compact"/>
              <w:jc w:val="left"/>
            </w:pPr>
            <w:r>
              <w:t xml:space="preserve">Before M1</w:t>
            </w:r>
          </w:p>
        </w:tc>
        <w:tc>
          <w:tcPr/>
          <w:p>
            <w:pPr>
              <w:pStyle w:val="Compact"/>
              <w:jc w:val="left"/>
            </w:pPr>
            <w:r>
              <w:t xml:space="preserve">Incorporate Pvt Ltd (SPICe+), PAN/TAN, bank account; founders' agreement and inventor assignments</w:t>
            </w:r>
          </w:p>
        </w:tc>
      </w:tr>
      <w:tr>
        <w:tc>
          <w:tcPr/>
          <w:p>
            <w:pPr>
              <w:pStyle w:val="Compact"/>
              <w:jc w:val="left"/>
            </w:pPr>
            <w:r>
              <w:t xml:space="preserve">Within 30 days</w:t>
            </w:r>
          </w:p>
        </w:tc>
        <w:tc>
          <w:tcPr/>
          <w:p>
            <w:pPr>
              <w:pStyle w:val="Compact"/>
              <w:jc w:val="left"/>
            </w:pPr>
            <w:r>
              <w:t xml:space="preserve">Appoint first auditor (ADT-1); first board meeting</w:t>
            </w:r>
          </w:p>
        </w:tc>
      </w:tr>
      <w:tr>
        <w:tc>
          <w:tcPr/>
          <w:p>
            <w:pPr>
              <w:pStyle w:val="Compact"/>
              <w:jc w:val="left"/>
            </w:pPr>
            <w:r>
              <w:t xml:space="preserve">Within 180 days</w:t>
            </w:r>
          </w:p>
        </w:tc>
        <w:tc>
          <w:tcPr/>
          <w:p>
            <w:pPr>
              <w:pStyle w:val="Compact"/>
              <w:jc w:val="left"/>
            </w:pPr>
            <w:r>
              <w:t xml:space="preserve">Commencement of business (INC-20A)</w:t>
            </w:r>
          </w:p>
        </w:tc>
      </w:tr>
      <w:tr>
        <w:tc>
          <w:tcPr/>
          <w:p>
            <w:pPr>
              <w:pStyle w:val="Compact"/>
              <w:jc w:val="left"/>
            </w:pPr>
            <w:r>
              <w:t xml:space="preserve">On turnover/inter-state supply</w:t>
            </w:r>
          </w:p>
        </w:tc>
        <w:tc>
          <w:tcPr/>
          <w:p>
            <w:pPr>
              <w:pStyle w:val="Compact"/>
              <w:jc w:val="left"/>
            </w:pPr>
            <w:r>
              <w:t xml:space="preserve">GST registration; then GSTR-1 (11th) and GSTR-3B (20th) monthly, or QRMP quarterly</w:t>
            </w:r>
          </w:p>
        </w:tc>
      </w:tr>
      <w:tr>
        <w:tc>
          <w:tcPr/>
          <w:p>
            <w:pPr>
              <w:pStyle w:val="Compact"/>
              <w:jc w:val="left"/>
            </w:pPr>
            <w:r>
              <w:t xml:space="preserve">Quarterly</w:t>
            </w:r>
          </w:p>
        </w:tc>
        <w:tc>
          <w:tcPr/>
          <w:p>
            <w:pPr>
              <w:pStyle w:val="Compact"/>
              <w:jc w:val="left"/>
            </w:pPr>
            <w:r>
              <w:t xml:space="preserve">TDS returns; board meeting (at least 4 a year)</w:t>
            </w:r>
          </w:p>
        </w:tc>
      </w:tr>
      <w:tr>
        <w:tc>
          <w:tcPr/>
          <w:p>
            <w:pPr>
              <w:pStyle w:val="Compact"/>
              <w:jc w:val="left"/>
            </w:pPr>
            <w:r>
              <w:t xml:space="preserve">M2</w:t>
            </w:r>
          </w:p>
        </w:tc>
        <w:tc>
          <w:tcPr/>
          <w:p>
            <w:pPr>
              <w:pStyle w:val="Compact"/>
              <w:jc w:val="left"/>
            </w:pPr>
            <w:r>
              <w:t xml:space="preserve">Provisional patent filing (planned); trademark applications</w:t>
            </w:r>
          </w:p>
        </w:tc>
      </w:tr>
      <w:tr>
        <w:tc>
          <w:tcPr/>
          <w:p>
            <w:pPr>
              <w:pStyle w:val="Compact"/>
              <w:jc w:val="left"/>
            </w:pPr>
            <w:r>
              <w:t xml:space="preserve">M4</w:t>
            </w:r>
          </w:p>
        </w:tc>
        <w:tc>
          <w:tcPr/>
          <w:p>
            <w:pPr>
              <w:pStyle w:val="Compact"/>
              <w:jc w:val="left"/>
            </w:pPr>
            <w:r>
              <w:t xml:space="preserve">CDSCO classification opinion; ethics committee approval for the user study</w:t>
            </w:r>
          </w:p>
        </w:tc>
      </w:tr>
      <w:tr>
        <w:tc>
          <w:tcPr/>
          <w:p>
            <w:pPr>
              <w:pStyle w:val="Compact"/>
              <w:jc w:val="left"/>
            </w:pPr>
            <w:r>
              <w:t xml:space="preserve">M9–M10</w:t>
            </w:r>
          </w:p>
        </w:tc>
        <w:tc>
          <w:tcPr/>
          <w:p>
            <w:pPr>
              <w:pStyle w:val="Compact"/>
              <w:jc w:val="left"/>
            </w:pPr>
            <w:r>
              <w:t xml:space="preserve">CDSCO registration/licence application for TremoSense (class to be confirmed)</w:t>
            </w:r>
          </w:p>
        </w:tc>
      </w:tr>
      <w:tr>
        <w:tc>
          <w:tcPr/>
          <w:p>
            <w:pPr>
              <w:pStyle w:val="Compact"/>
              <w:jc w:val="left"/>
            </w:pPr>
            <w:r>
              <w:t xml:space="preserve">30 Sep</w:t>
            </w:r>
          </w:p>
        </w:tc>
        <w:tc>
          <w:tcPr/>
          <w:p>
            <w:pPr>
              <w:pStyle w:val="Compact"/>
              <w:jc w:val="left"/>
            </w:pPr>
            <w:r>
              <w:t xml:space="preserve">DIR-3 KYC for directors; AGM within six months of year end</w:t>
            </w:r>
          </w:p>
        </w:tc>
      </w:tr>
      <w:tr>
        <w:tc>
          <w:tcPr/>
          <w:p>
            <w:pPr>
              <w:pStyle w:val="Compact"/>
              <w:jc w:val="left"/>
            </w:pPr>
            <w:r>
              <w:t xml:space="preserve">31 Oct / Nov</w:t>
            </w:r>
          </w:p>
        </w:tc>
        <w:tc>
          <w:tcPr/>
          <w:p>
            <w:pPr>
              <w:pStyle w:val="Compact"/>
              <w:jc w:val="left"/>
            </w:pPr>
            <w:r>
              <w:t xml:space="preserve">ITR-6; AOC-4 and MGT-7 annual ROC filings</w:t>
            </w:r>
          </w:p>
        </w:tc>
      </w:tr>
      <w:tr>
        <w:tc>
          <w:tcPr/>
          <w:p>
            <w:pPr>
              <w:pStyle w:val="Compact"/>
              <w:jc w:val="left"/>
            </w:pPr>
            <w:r>
              <w:t xml:space="preserve">Any time</w:t>
            </w:r>
          </w:p>
        </w:tc>
        <w:tc>
          <w:tcPr/>
          <w:p>
            <w:pPr>
              <w:pStyle w:val="Compact"/>
              <w:jc w:val="left"/>
            </w:pPr>
            <w:r>
              <w:t xml:space="preserve">DPIIT Startup recognition; Startup India Seed Fund application (applied for, not secured)</w:t>
            </w:r>
          </w:p>
        </w:tc>
      </w:tr>
    </w:tbl>
    <w:bookmarkEnd w:id="77"/>
    <w:bookmarkStart w:id="78" w:name="founder-agreement-clauses-proposed"/>
    <w:p>
      <w:pPr>
        <w:pStyle w:val="Heading2"/>
      </w:pPr>
      <w:r>
        <w:t xml:space="preserve">4. Founder-agreement clauses (proposed)</w:t>
      </w:r>
    </w:p>
    <w:p>
      <w:pPr>
        <w:numPr>
          <w:ilvl w:val="0"/>
          <w:numId w:val="1005"/>
        </w:numPr>
        <w:pStyle w:val="Compact"/>
      </w:pPr>
      <w:r>
        <w:rPr>
          <w:bCs/>
          <w:b/>
        </w:rPr>
        <w:t xml:space="preserve">Equity and vesting:</w:t>
      </w:r>
      <w:r>
        <w:t xml:space="preserve"> </w:t>
      </w:r>
      <w:r>
        <w:t xml:space="preserve">founder shares vest over 4 years with a 1-year cliff; unvested shares return to the company on departure.</w:t>
      </w:r>
    </w:p>
    <w:p>
      <w:pPr>
        <w:numPr>
          <w:ilvl w:val="0"/>
          <w:numId w:val="1005"/>
        </w:numPr>
        <w:pStyle w:val="Compact"/>
      </w:pPr>
      <w:r>
        <w:rPr>
          <w:bCs/>
          <w:b/>
        </w:rPr>
        <w:t xml:space="preserve">Roles:</w:t>
      </w:r>
      <w:r>
        <w:t xml:space="preserve"> </w:t>
      </w:r>
      <w:r>
        <w:t xml:space="preserve">Pranshu — CEO, wearable hardware and firmware; Pawan — control, gimbal and power electronics. Both remain the hardware and test engineers.</w:t>
      </w:r>
    </w:p>
    <w:p>
      <w:pPr>
        <w:numPr>
          <w:ilvl w:val="0"/>
          <w:numId w:val="1005"/>
        </w:numPr>
        <w:pStyle w:val="Compact"/>
      </w:pPr>
      <w:r>
        <w:rPr>
          <w:bCs/>
          <w:b/>
        </w:rPr>
        <w:t xml:space="preserve">Decision-making:</w:t>
      </w:r>
      <w:r>
        <w:t xml:space="preserve"> </w:t>
      </w:r>
      <w:r>
        <w:t xml:space="preserve">day-to-day decisions by the role owner; fundraising, new products, hiring above ₹30,000/month and any medical claim need both founders.</w:t>
      </w:r>
    </w:p>
    <w:p>
      <w:pPr>
        <w:numPr>
          <w:ilvl w:val="0"/>
          <w:numId w:val="1005"/>
        </w:numPr>
        <w:pStyle w:val="Compact"/>
      </w:pPr>
      <w:r>
        <w:rPr>
          <w:bCs/>
          <w:b/>
        </w:rPr>
        <w:t xml:space="preserve">Departure:</w:t>
      </w:r>
      <w:r>
        <w:t xml:space="preserve"> </w:t>
      </w:r>
      <w:r>
        <w:t xml:space="preserve">good-leaver keeps vested shares; bad-leaver (fraud, breach) sells vested shares back at face value; 3-month notice and handover.</w:t>
      </w:r>
    </w:p>
    <w:p>
      <w:pPr>
        <w:numPr>
          <w:ilvl w:val="0"/>
          <w:numId w:val="1005"/>
        </w:numPr>
        <w:pStyle w:val="Compact"/>
      </w:pPr>
      <w:r>
        <w:rPr>
          <w:bCs/>
          <w:b/>
        </w:rPr>
        <w:t xml:space="preserve">IP assignment:</w:t>
      </w:r>
      <w:r>
        <w:t xml:space="preserve"> </w:t>
      </w:r>
      <w:r>
        <w:t xml:space="preserve">all IP created for AVERRA (including pre-incorporation prototypes) is assigned to the company before any patent filing.</w:t>
      </w:r>
    </w:p>
    <w:bookmarkEnd w:id="78"/>
    <w:bookmarkEnd w:id="79"/>
    <w:bookmarkStart w:id="86" w:name="M4.1"/>
    <w:p>
      <w:pPr>
        <w:pStyle w:val="FirstParagraph"/>
      </w:pPr>
      <w:r>
        <w:t xml:space="preserve">M4 · Activity 1 · Mandatory Model M4.1</w:t>
      </w:r>
    </w:p>
    <w:bookmarkStart w:id="80" w:name="team-incentive-blueprint"/>
    <w:p>
      <w:pPr>
        <w:pStyle w:val="Heading1"/>
      </w:pPr>
      <w:r>
        <w:t xml:space="preserve">Team &amp; Incentive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80"/>
    <w:bookmarkStart w:id="81" w:name="month-org-chart-and-hiring-sequence"/>
    <w:p>
      <w:pPr>
        <w:pStyle w:val="Heading2"/>
      </w:pPr>
      <w:r>
        <w:t xml:space="preserve">1. 12-month org chart and hiring sequence</w:t>
      </w:r>
    </w:p>
    <w:tbl>
      <w:tblPr>
        <w:tblStyle w:val="Table"/>
        <w:tblW w:type="pct" w:w="5000"/>
        <w:tblLook w:firstRow="1" w:lastRow="0" w:firstColumn="0" w:lastColumn="0" w:noHBand="0" w:noVBand="0" w:val="0020"/>
        <w:jc w:val="start"/>
      </w:tblPr>
      <w:tblGrid>
        <w:gridCol w:w="950"/>
        <w:gridCol w:w="4593"/>
        <w:gridCol w:w="2376"/>
      </w:tblGrid>
      <w:tr>
        <w:trPr>
          <w:tblHeader w:val="true"/>
        </w:trPr>
        <w:tc>
          <w:tcPr/>
          <w:p>
            <w:pPr>
              <w:pStyle w:val="Compact"/>
              <w:jc w:val="left"/>
            </w:pPr>
            <w:r>
              <w:t xml:space="preserve">Month</w:t>
            </w:r>
          </w:p>
        </w:tc>
        <w:tc>
          <w:tcPr/>
          <w:p>
            <w:pPr>
              <w:pStyle w:val="Compact"/>
              <w:jc w:val="left"/>
            </w:pPr>
            <w:r>
              <w:t xml:space="preserve">Team</w:t>
            </w:r>
          </w:p>
        </w:tc>
        <w:tc>
          <w:tcPr/>
          <w:p>
            <w:pPr>
              <w:pStyle w:val="Compact"/>
              <w:jc w:val="left"/>
            </w:pPr>
            <w:r>
              <w:t xml:space="preserve">Why then</w:t>
            </w:r>
          </w:p>
        </w:tc>
      </w:tr>
      <w:tr>
        <w:tc>
          <w:tcPr/>
          <w:p>
            <w:pPr>
              <w:pStyle w:val="Compact"/>
              <w:jc w:val="left"/>
            </w:pPr>
            <w:r>
              <w:t xml:space="preserve">M1–M6</w:t>
            </w:r>
          </w:p>
        </w:tc>
        <w:tc>
          <w:tcPr/>
          <w:p>
            <w:pPr>
              <w:pStyle w:val="Compact"/>
              <w:jc w:val="left"/>
            </w:pPr>
            <w:r>
              <w:t xml:space="preserve">Pranshu Kumar (CEO, wearable hardware &amp; firmware) · Pawan Shinde (control, gimbal &amp; power) — both hardware and test engineers</w:t>
            </w:r>
          </w:p>
        </w:tc>
        <w:tc>
          <w:tcPr/>
          <w:p>
            <w:pPr>
              <w:pStyle w:val="Compact"/>
              <w:jc w:val="left"/>
            </w:pPr>
            <w:r>
              <w:t xml:space="preserve">Phase 1 is engineering and validation; no hires</w:t>
            </w:r>
          </w:p>
        </w:tc>
      </w:tr>
      <w:tr>
        <w:tc>
          <w:tcPr/>
          <w:p>
            <w:pPr>
              <w:pStyle w:val="Compact"/>
              <w:jc w:val="left"/>
            </w:pPr>
            <w:r>
              <w:t xml:space="preserve">M7–M12</w:t>
            </w:r>
          </w:p>
        </w:tc>
        <w:tc>
          <w:tcPr/>
          <w:p>
            <w:pPr>
              <w:pStyle w:val="Compact"/>
              <w:jc w:val="left"/>
            </w:pPr>
            <w:r>
              <w:t xml:space="preserve">Founders + contract support (regulatory consultant, industrial designer, contract assembler)</w:t>
            </w:r>
          </w:p>
        </w:tc>
        <w:tc>
          <w:tcPr/>
          <w:p>
            <w:pPr>
              <w:pStyle w:val="Compact"/>
              <w:jc w:val="left"/>
            </w:pPr>
            <w:r>
              <w:t xml:space="preserve">Regulatory filing and pilot batch; contracts, not payroll</w:t>
            </w:r>
          </w:p>
        </w:tc>
      </w:tr>
      <w:tr>
        <w:tc>
          <w:tcPr/>
          <w:p>
            <w:pPr>
              <w:pStyle w:val="Compact"/>
              <w:jc w:val="left"/>
            </w:pPr>
            <w:r>
              <w:t xml:space="preserve">M19</w:t>
            </w:r>
          </w:p>
        </w:tc>
        <w:tc>
          <w:tcPr/>
          <w:p>
            <w:pPr>
              <w:pStyle w:val="Compact"/>
              <w:jc w:val="left"/>
            </w:pPr>
            <w:r>
              <w:t xml:space="preserve">+ Clinic-network sales lead · + Customer support &amp; operations</w:t>
            </w:r>
          </w:p>
        </w:tc>
        <w:tc>
          <w:tcPr/>
          <w:p>
            <w:pPr>
              <w:pStyle w:val="Compact"/>
              <w:jc w:val="left"/>
            </w:pPr>
            <w:r>
              <w:t xml:space="preserve">After first sales prove demand</w:t>
            </w:r>
          </w:p>
        </w:tc>
      </w:tr>
      <w:tr>
        <w:tc>
          <w:tcPr/>
          <w:p>
            <w:pPr>
              <w:pStyle w:val="Compact"/>
              <w:jc w:val="left"/>
            </w:pPr>
            <w:r>
              <w:t xml:space="preserve">M25</w:t>
            </w:r>
          </w:p>
        </w:tc>
        <w:tc>
          <w:tcPr/>
          <w:p>
            <w:pPr>
              <w:pStyle w:val="Compact"/>
              <w:jc w:val="left"/>
            </w:pPr>
            <w:r>
              <w:t xml:space="preserve">+ App &amp; firmware engineer (ParkinSense)</w:t>
            </w:r>
          </w:p>
        </w:tc>
        <w:tc>
          <w:tcPr/>
          <w:p>
            <w:pPr>
              <w:pStyle w:val="Compact"/>
              <w:jc w:val="left"/>
            </w:pPr>
            <w:r>
              <w:t xml:space="preserve">ParkinSense wellness launch</w:t>
            </w:r>
          </w:p>
        </w:tc>
      </w:tr>
    </w:tbl>
    <w:p>
      <w:pPr>
        <w:pStyle w:val="BodyText"/>
      </w:pPr>
      <w:r>
        <w:t xml:space="preserve">The plan's first hires fall after month 12, so the 12-month chart is the two founders plus contractors (Forecast sheet hiring lines).</w:t>
      </w:r>
    </w:p>
    <w:bookmarkEnd w:id="81"/>
    <w:bookmarkStart w:id="82" w:name="role-descriptions"/>
    <w:p>
      <w:pPr>
        <w:pStyle w:val="Heading2"/>
      </w:pPr>
      <w:r>
        <w:t xml:space="preserve">2. Role descriptions</w:t>
      </w:r>
    </w:p>
    <w:tbl>
      <w:tblPr>
        <w:tblStyle w:val="Table"/>
        <w:tblW w:type="pct" w:w="5000"/>
        <w:tblLook w:firstRow="1" w:lastRow="0" w:firstColumn="0" w:lastColumn="0" w:noHBand="0" w:noVBand="0" w:val="0020"/>
        <w:jc w:val="start"/>
      </w:tblPr>
      <w:tblGrid>
        <w:gridCol w:w="1900"/>
        <w:gridCol w:w="3168"/>
        <w:gridCol w:w="2851"/>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What good looks like</w:t>
            </w:r>
          </w:p>
        </w:tc>
      </w:tr>
      <w:tr>
        <w:tc>
          <w:tcPr/>
          <w:p>
            <w:pPr>
              <w:pStyle w:val="Compact"/>
              <w:jc w:val="left"/>
            </w:pPr>
            <w:r>
              <w:t xml:space="preserve">Clinic-network sales lead (M19)</w:t>
            </w:r>
          </w:p>
        </w:tc>
        <w:tc>
          <w:tcPr/>
          <w:p>
            <w:pPr>
              <w:pStyle w:val="Compact"/>
              <w:jc w:val="left"/>
            </w:pPr>
            <w:r>
              <w:t xml:space="preserve">Sign and support neurology and OT clinics; run in-clinic trials; manage clinic margin terms</w:t>
            </w:r>
          </w:p>
        </w:tc>
        <w:tc>
          <w:tcPr/>
          <w:p>
            <w:pPr>
              <w:pStyle w:val="Compact"/>
              <w:jc w:val="left"/>
            </w:pPr>
            <w:r>
              <w:t xml:space="preserve">30 active clinics by M30; ≥4 TremoSense sales per clinic per month; CAC ≤ ₹1,079</w:t>
            </w:r>
          </w:p>
        </w:tc>
      </w:tr>
      <w:tr>
        <w:tc>
          <w:tcPr/>
          <w:p>
            <w:pPr>
              <w:pStyle w:val="Compact"/>
              <w:jc w:val="left"/>
            </w:pPr>
            <w:r>
              <w:t xml:space="preserve">Customer support &amp; operations (M19)</w:t>
            </w:r>
          </w:p>
        </w:tc>
        <w:tc>
          <w:tcPr/>
          <w:p>
            <w:pPr>
              <w:pStyle w:val="Compact"/>
              <w:jc w:val="left"/>
            </w:pPr>
            <w:r>
              <w:t xml:space="preserve">Onboarding calls, 7-day check-ins, returns, dispatch, stock</w:t>
            </w:r>
          </w:p>
        </w:tc>
        <w:tc>
          <w:tcPr/>
          <w:p>
            <w:pPr>
              <w:pStyle w:val="Compact"/>
              <w:jc w:val="left"/>
            </w:pPr>
            <w:r>
              <w:t xml:space="preserve">Onboarding within 48 h; ≥70% daily use at day 30; return rate &lt;5%</w:t>
            </w:r>
          </w:p>
        </w:tc>
      </w:tr>
      <w:tr>
        <w:tc>
          <w:tcPr/>
          <w:p>
            <w:pPr>
              <w:pStyle w:val="Compact"/>
              <w:jc w:val="left"/>
            </w:pPr>
            <w:r>
              <w:t xml:space="preserve">App &amp; firmware engineer (M25)</w:t>
            </w:r>
          </w:p>
        </w:tc>
        <w:tc>
          <w:tcPr/>
          <w:p>
            <w:pPr>
              <w:pStyle w:val="Compact"/>
              <w:jc w:val="left"/>
            </w:pPr>
            <w:r>
              <w:t xml:space="preserve">ParkinSense mobile app, BLE firmware, cloud sync</w:t>
            </w:r>
          </w:p>
        </w:tc>
        <w:tc>
          <w:tcPr/>
          <w:p>
            <w:pPr>
              <w:pStyle w:val="Compact"/>
              <w:jc w:val="left"/>
            </w:pPr>
            <w:r>
              <w:t xml:space="preserve">App store release by M27; crash-free sessions ≥99%; no data-privacy incidents</w:t>
            </w:r>
          </w:p>
        </w:tc>
      </w:tr>
    </w:tbl>
    <w:bookmarkEnd w:id="82"/>
    <w:bookmarkStart w:id="83" w:name="Xda9475f7e5694d864baf7299bb18b46eafa9bc8"/>
    <w:p>
      <w:pPr>
        <w:pStyle w:val="Heading2"/>
      </w:pPr>
      <w:r>
        <w:t xml:space="preserve">3. Structured mock-interview guide (same questions for every candidate)</w:t>
      </w:r>
    </w:p>
    <w:p>
      <w:pPr>
        <w:numPr>
          <w:ilvl w:val="0"/>
          <w:numId w:val="1006"/>
        </w:numPr>
        <w:pStyle w:val="Compact"/>
      </w:pPr>
      <w:r>
        <w:t xml:space="preserve">Tell me about a time you got a clinician or institution to adopt something new. What exactly did you do?</w:t>
      </w:r>
    </w:p>
    <w:p>
      <w:pPr>
        <w:numPr>
          <w:ilvl w:val="0"/>
          <w:numId w:val="1006"/>
        </w:numPr>
        <w:pStyle w:val="Compact"/>
      </w:pPr>
      <w:r>
        <w:t xml:space="preserve">Walk me through how you tracked a sales pipeline last time. What numbers did you watch?</w:t>
      </w:r>
    </w:p>
    <w:p>
      <w:pPr>
        <w:numPr>
          <w:ilvl w:val="0"/>
          <w:numId w:val="1006"/>
        </w:numPr>
        <w:pStyle w:val="Compact"/>
      </w:pPr>
      <w:r>
        <w:t xml:space="preserve">Describe a deal you lost. What did you learn?</w:t>
      </w:r>
    </w:p>
    <w:p>
      <w:pPr>
        <w:numPr>
          <w:ilvl w:val="0"/>
          <w:numId w:val="1006"/>
        </w:numPr>
        <w:pStyle w:val="Compact"/>
      </w:pPr>
      <w:r>
        <w:t xml:space="preserve">A caregiver says the device isn't helping after a week. What do you do in the first call?</w:t>
      </w:r>
    </w:p>
    <w:p>
      <w:pPr>
        <w:numPr>
          <w:ilvl w:val="0"/>
          <w:numId w:val="1006"/>
        </w:numPr>
        <w:pStyle w:val="Compact"/>
      </w:pPr>
      <w:r>
        <w:t xml:space="preserve">Score: 1–5 on evidence of past behaviour, clarity, customer empathy, numeracy.</w:t>
      </w:r>
    </w:p>
    <w:tbl>
      <w:tblPr>
        <w:tblStyle w:val="Table"/>
        <w:tblW w:type="pct" w:w="5000"/>
        <w:tblLook w:firstRow="1" w:lastRow="0" w:firstColumn="0" w:lastColumn="0" w:noHBand="0" w:noVBand="0" w:val="0020"/>
        <w:jc w:val="start"/>
      </w:tblPr>
      <w:tblGrid>
        <w:gridCol w:w="1425"/>
        <w:gridCol w:w="792"/>
        <w:gridCol w:w="633"/>
        <w:gridCol w:w="633"/>
        <w:gridCol w:w="633"/>
        <w:gridCol w:w="633"/>
        <w:gridCol w:w="792"/>
        <w:gridCol w:w="2376"/>
      </w:tblGrid>
      <w:tr>
        <w:trPr>
          <w:tblHeader w:val="true"/>
        </w:trPr>
        <w:tc>
          <w:tcPr/>
          <w:p>
            <w:pPr>
              <w:pStyle w:val="Compact"/>
              <w:jc w:val="left"/>
            </w:pPr>
            <w:r>
              <w:t xml:space="preserve">Interviewer (classmate)</w:t>
            </w:r>
          </w:p>
        </w:tc>
        <w:tc>
          <w:tcPr/>
          <w:p>
            <w:pPr>
              <w:pStyle w:val="Compact"/>
              <w:jc w:val="left"/>
            </w:pPr>
            <w:r>
              <w:t xml:space="preserve">Date</w:t>
            </w: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Total /20</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Mock interview record pending; complete it with a classmate and attach notes.</w:t>
      </w:r>
    </w:p>
    <w:bookmarkEnd w:id="83"/>
    <w:bookmarkStart w:id="84" w:name="X3c2dfd3e4637170f87d42cce8072fd4463b0de9"/>
    <w:p>
      <w:pPr>
        <w:pStyle w:val="Heading2"/>
      </w:pPr>
      <w:r>
        <w:t xml:space="preserve">4. Founder equity-split method (scores to be agreed by the founders)</w:t>
      </w:r>
    </w:p>
    <w:tbl>
      <w:tblPr>
        <w:tblStyle w:val="Table"/>
        <w:tblW w:type="pct" w:w="5000"/>
        <w:tblLook w:firstRow="1" w:lastRow="0" w:firstColumn="0" w:lastColumn="0" w:noHBand="0" w:noVBand="0" w:val="0020"/>
        <w:jc w:val="start"/>
      </w:tblPr>
      <w:tblGrid>
        <w:gridCol w:w="2059"/>
        <w:gridCol w:w="1108"/>
        <w:gridCol w:w="1108"/>
        <w:gridCol w:w="3643"/>
      </w:tblGrid>
      <w:tr>
        <w:trPr>
          <w:tblHeader w:val="true"/>
        </w:trPr>
        <w:tc>
          <w:tcPr/>
          <w:p>
            <w:pPr>
              <w:pStyle w:val="Compact"/>
              <w:jc w:val="left"/>
            </w:pPr>
            <w:r>
              <w:t xml:space="preserve">Factor (weight)</w:t>
            </w:r>
          </w:p>
        </w:tc>
        <w:tc>
          <w:tcPr/>
          <w:p>
            <w:pPr>
              <w:pStyle w:val="Compact"/>
              <w:jc w:val="left"/>
            </w:pPr>
            <w:r>
              <w:t xml:space="preserve">Pranshu (1–10)</w:t>
            </w:r>
          </w:p>
        </w:tc>
        <w:tc>
          <w:tcPr/>
          <w:p>
            <w:pPr>
              <w:pStyle w:val="Compact"/>
              <w:jc w:val="left"/>
            </w:pPr>
            <w:r>
              <w:t xml:space="preserve">Pawan (1–10)</w:t>
            </w:r>
          </w:p>
        </w:tc>
        <w:tc>
          <w:tcPr/>
          <w:p>
            <w:pPr>
              <w:pStyle w:val="Compact"/>
              <w:jc w:val="left"/>
            </w:pPr>
            <w:r>
              <w:t xml:space="preserve">How to score</w:t>
            </w:r>
          </w:p>
        </w:tc>
      </w:tr>
      <w:tr>
        <w:tc>
          <w:tcPr/>
          <w:p>
            <w:pPr>
              <w:pStyle w:val="Compact"/>
              <w:jc w:val="left"/>
            </w:pPr>
            <w:r>
              <w:t xml:space="preserve">Idea and IP (25%)</w:t>
            </w:r>
          </w:p>
        </w:tc>
        <w:tc>
          <w:tcPr/>
          <w:p>
            <w:pPr>
              <w:pStyle w:val="Compact"/>
            </w:pPr>
          </w:p>
        </w:tc>
        <w:tc>
          <w:tcPr/>
          <w:p>
            <w:pPr>
              <w:pStyle w:val="Compact"/>
            </w:pPr>
          </w:p>
        </w:tc>
        <w:tc>
          <w:tcPr/>
          <w:p>
            <w:pPr>
              <w:pStyle w:val="Compact"/>
              <w:jc w:val="left"/>
            </w:pPr>
            <w:r>
              <w:t xml:space="preserve">Who originated each product and holds the prototypes and papers</w:t>
            </w:r>
          </w:p>
        </w:tc>
      </w:tr>
      <w:tr>
        <w:tc>
          <w:tcPr/>
          <w:p>
            <w:pPr>
              <w:pStyle w:val="Compact"/>
              <w:jc w:val="left"/>
            </w:pPr>
            <w:r>
              <w:t xml:space="preserve">Capital contributed (15%)</w:t>
            </w:r>
          </w:p>
        </w:tc>
        <w:tc>
          <w:tcPr/>
          <w:p>
            <w:pPr>
              <w:pStyle w:val="Compact"/>
            </w:pPr>
          </w:p>
        </w:tc>
        <w:tc>
          <w:tcPr/>
          <w:p>
            <w:pPr>
              <w:pStyle w:val="Compact"/>
            </w:pPr>
          </w:p>
        </w:tc>
        <w:tc>
          <w:tcPr/>
          <w:p>
            <w:pPr>
              <w:pStyle w:val="Compact"/>
              <w:jc w:val="left"/>
            </w:pPr>
            <w:r>
              <w:t xml:space="preserve">Cash and equipment put in</w:t>
            </w:r>
          </w:p>
        </w:tc>
      </w:tr>
      <w:tr>
        <w:tc>
          <w:tcPr/>
          <w:p>
            <w:pPr>
              <w:pStyle w:val="Compact"/>
              <w:jc w:val="left"/>
            </w:pPr>
            <w:r>
              <w:t xml:space="preserve">Full-time commitment (35%)</w:t>
            </w:r>
          </w:p>
        </w:tc>
        <w:tc>
          <w:tcPr/>
          <w:p>
            <w:pPr>
              <w:pStyle w:val="Compact"/>
            </w:pPr>
          </w:p>
        </w:tc>
        <w:tc>
          <w:tcPr/>
          <w:p>
            <w:pPr>
              <w:pStyle w:val="Compact"/>
            </w:pPr>
          </w:p>
        </w:tc>
        <w:tc>
          <w:tcPr/>
          <w:p>
            <w:pPr>
              <w:pStyle w:val="Compact"/>
              <w:jc w:val="left"/>
            </w:pPr>
            <w:r>
              <w:t xml:space="preserve">Months committed full-time from M1</w:t>
            </w:r>
          </w:p>
        </w:tc>
      </w:tr>
      <w:tr>
        <w:tc>
          <w:tcPr/>
          <w:p>
            <w:pPr>
              <w:pStyle w:val="Compact"/>
              <w:jc w:val="left"/>
            </w:pPr>
            <w:r>
              <w:t xml:space="preserve">Prior expertise (25%)</w:t>
            </w:r>
          </w:p>
        </w:tc>
        <w:tc>
          <w:tcPr/>
          <w:p>
            <w:pPr>
              <w:pStyle w:val="Compact"/>
            </w:pPr>
          </w:p>
        </w:tc>
        <w:tc>
          <w:tcPr/>
          <w:p>
            <w:pPr>
              <w:pStyle w:val="Compact"/>
            </w:pPr>
          </w:p>
        </w:tc>
        <w:tc>
          <w:tcPr/>
          <w:p>
            <w:pPr>
              <w:pStyle w:val="Compact"/>
              <w:jc w:val="left"/>
            </w:pPr>
            <w:r>
              <w:t xml:space="preserve">Relevance of skills to the next 18 months</w:t>
            </w:r>
          </w:p>
        </w:tc>
      </w:tr>
    </w:tbl>
    <w:p>
      <w:pPr>
        <w:pStyle w:val="BodyText"/>
      </w:pPr>
      <w:r>
        <w:t xml:space="preserve">Founder share = Σ(weight × score) for that founder ÷ Σ(weight × score) for both founders × 82.71% (founders' total after Round 1 with a 5% ESOP pool; Funding Scenarios sheet).</w:t>
      </w:r>
      <w:r>
        <w:t xml:space="preserve"> </w:t>
      </w:r>
      <w:r>
        <w:rPr>
          <w:iCs/>
          <w:i/>
        </w:rPr>
        <w:t xml:space="preserve">Illustrative only:</w:t>
      </w:r>
      <w:r>
        <w:t xml:space="preserve"> </w:t>
      </w:r>
      <w:r>
        <w:t xml:space="preserve">if both founders score equally, each holds 50% of founder equity = 41.36% after Round 1. Vesting: 4 years, 1-year cliff, monthly thereafter.</w:t>
      </w:r>
    </w:p>
    <w:bookmarkEnd w:id="84"/>
    <w:bookmarkStart w:id="85" w:name="esop-pool-and-a-sample-grant"/>
    <w:p>
      <w:pPr>
        <w:pStyle w:val="Heading2"/>
      </w:pPr>
      <w:r>
        <w:t xml:space="preserve">5. ESOP pool and a sample grant</w:t>
      </w:r>
    </w:p>
    <w:p>
      <w:pPr>
        <w:pStyle w:val="FirstParagraph"/>
      </w:pPr>
      <w:r>
        <w:t xml:space="preserve">The model reserves a</w:t>
      </w:r>
      <w:r>
        <w:t xml:space="preserve"> </w:t>
      </w:r>
      <w:r>
        <w:rPr>
          <w:bCs/>
          <w:b/>
        </w:rPr>
        <w:t xml:space="preserve">5% ESOP pool</w:t>
      </w:r>
      <w:r>
        <w:t xml:space="preserve">, enough for the three planned hires (≈1–1.5% each) plus a reserve. The course suggests 10–15%; we keep 5% now to limit dilution in a small round and plan to top it up at tranche 2 when the team grows (flagged for the founders to decide).</w:t>
      </w:r>
    </w:p>
    <w:p>
      <w:pPr>
        <w:pStyle w:val="BodyText"/>
      </w:pPr>
      <w:r>
        <w:t xml:space="preserve">Sample grant: 0.5% × post-money ₹85,51,171 =</w:t>
      </w:r>
      <w:r>
        <w:t xml:space="preserve"> </w:t>
      </w:r>
      <w:r>
        <w:rPr>
          <w:bCs/>
          <w:b/>
        </w:rPr>
        <w:t xml:space="preserve">₹42,756</w:t>
      </w:r>
      <w:r>
        <w:t xml:space="preserve"> </w:t>
      </w:r>
      <w:r>
        <w:t xml:space="preserve">on paper at the proposed valuation (illustrative; not a market value).</w:t>
      </w:r>
    </w:p>
    <w:bookmarkEnd w:id="85"/>
    <w:bookmarkEnd w:id="86"/>
    <w:bookmarkStart w:id="91" w:name="M4.2"/>
    <w:p>
      <w:pPr>
        <w:pStyle w:val="BodyText"/>
      </w:pPr>
      <w:r>
        <w:t xml:space="preserve">M4 · Activity 2 · Mandatory Model M4.2</w:t>
      </w:r>
    </w:p>
    <w:bookmarkStart w:id="87" w:name="growth-engine-dashboard"/>
    <w:p>
      <w:pPr>
        <w:pStyle w:val="Heading1"/>
      </w:pPr>
      <w:r>
        <w:t xml:space="preserve">Growth-Engine Dashboard</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Planned – protocol ready, not yet run</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87"/>
    <w:p>
      <w:pPr>
        <w:pStyle w:val="BodyText"/>
      </w:pPr>
      <w:r>
        <w:t xml:space="preserve">No paid campaign or structured organic experiment has been run yet, so there are no reach, click, CAC, ROAS or retention figures to report. The tables are ready to complete; nothing below is measured.</w:t>
      </w:r>
    </w:p>
    <w:bookmarkStart w:id="88" w:name="X7b1244fc0b1371f278651ed3d8853f77c2dec7d"/>
    <w:p>
      <w:pPr>
        <w:pStyle w:val="Heading2"/>
      </w:pPr>
      <w:r>
        <w:t xml:space="preserve">1. Campaign tracker (fill in after running one campaign or organic push)</w:t>
      </w:r>
    </w:p>
    <w:tbl>
      <w:tblPr>
        <w:tblStyle w:val="Table"/>
        <w:tblW w:type="pct" w:w="5000"/>
        <w:tblLook w:firstRow="1" w:lastRow="0" w:firstColumn="0" w:lastColumn="0" w:noHBand="0" w:noVBand="0" w:val="0020"/>
        <w:jc w:val="start"/>
      </w:tblPr>
      <w:tblGrid>
        <w:gridCol w:w="1267"/>
        <w:gridCol w:w="792"/>
        <w:gridCol w:w="792"/>
        <w:gridCol w:w="792"/>
        <w:gridCol w:w="950"/>
        <w:gridCol w:w="950"/>
        <w:gridCol w:w="1188"/>
        <w:gridCol w:w="1188"/>
      </w:tblGrid>
      <w:tr>
        <w:trPr>
          <w:tblHeader w:val="true"/>
        </w:trPr>
        <w:tc>
          <w:tcPr/>
          <w:p>
            <w:pPr>
              <w:pStyle w:val="Compact"/>
              <w:jc w:val="left"/>
            </w:pPr>
            <w:r>
              <w:t xml:space="preserve">Channel</w:t>
            </w:r>
          </w:p>
        </w:tc>
        <w:tc>
          <w:tcPr/>
          <w:p>
            <w:pPr>
              <w:pStyle w:val="Compact"/>
              <w:jc w:val="left"/>
            </w:pPr>
            <w:r>
              <w:t xml:space="preserve">Spend ₹</w:t>
            </w:r>
          </w:p>
        </w:tc>
        <w:tc>
          <w:tcPr/>
          <w:p>
            <w:pPr>
              <w:pStyle w:val="Compact"/>
              <w:jc w:val="left"/>
            </w:pPr>
            <w:r>
              <w:t xml:space="preserve">Reach</w:t>
            </w:r>
          </w:p>
        </w:tc>
        <w:tc>
          <w:tcPr/>
          <w:p>
            <w:pPr>
              <w:pStyle w:val="Compact"/>
              <w:jc w:val="left"/>
            </w:pPr>
            <w:r>
              <w:t xml:space="preserve">Clicks</w:t>
            </w:r>
          </w:p>
        </w:tc>
        <w:tc>
          <w:tcPr/>
          <w:p>
            <w:pPr>
              <w:pStyle w:val="Compact"/>
              <w:jc w:val="left"/>
            </w:pPr>
            <w:r>
              <w:t xml:space="preserve">Enquiries</w:t>
            </w:r>
          </w:p>
        </w:tc>
        <w:tc>
          <w:tcPr/>
          <w:p>
            <w:pPr>
              <w:pStyle w:val="Compact"/>
              <w:jc w:val="left"/>
            </w:pPr>
            <w:r>
              <w:t xml:space="preserve">Conversions</w:t>
            </w:r>
          </w:p>
        </w:tc>
        <w:tc>
          <w:tcPr/>
          <w:p>
            <w:pPr>
              <w:pStyle w:val="Compact"/>
              <w:jc w:val="left"/>
            </w:pPr>
            <w:r>
              <w:t xml:space="preserve">CAC = spend ÷ conversions</w:t>
            </w:r>
          </w:p>
        </w:tc>
        <w:tc>
          <w:tcPr/>
          <w:p>
            <w:pPr>
              <w:pStyle w:val="Compact"/>
              <w:jc w:val="left"/>
            </w:pPr>
            <w:r>
              <w:t xml:space="preserve">ROAS = revenue ÷ spend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Suggested first test: a ₹2,000 Instagram/YouTube boost of the TremoSense bench video to caregivers in Mumbai and Pune, linking to a preorder-deposit form; count deposits as conversions.</w:t>
      </w:r>
    </w:p>
    <w:bookmarkEnd w:id="88"/>
    <w:bookmarkStart w:id="89" w:name="cohort-retention-fill-in-from-real-users"/>
    <w:p>
      <w:pPr>
        <w:pStyle w:val="Heading2"/>
      </w:pPr>
      <w:r>
        <w:t xml:space="preserve">2. Cohort retention (fill in from real users)</w:t>
      </w:r>
    </w:p>
    <w:tbl>
      <w:tblPr>
        <w:tblStyle w:val="Table"/>
        <w:tblW w:type="pct" w:w="5000"/>
        <w:tblLook w:firstRow="1" w:lastRow="0" w:firstColumn="0" w:lastColumn="0" w:noHBand="0" w:noVBand="0" w:val="0020"/>
        <w:jc w:val="start"/>
      </w:tblPr>
      <w:tblGrid>
        <w:gridCol w:w="1900"/>
        <w:gridCol w:w="1267"/>
        <w:gridCol w:w="1584"/>
        <w:gridCol w:w="1584"/>
        <w:gridCol w:w="1584"/>
      </w:tblGrid>
      <w:tr>
        <w:trPr>
          <w:tblHeader w:val="true"/>
        </w:trPr>
        <w:tc>
          <w:tcPr/>
          <w:p>
            <w:pPr>
              <w:pStyle w:val="Compact"/>
              <w:jc w:val="left"/>
            </w:pPr>
            <w:r>
              <w:t xml:space="preserve">Cohort (joined)</w:t>
            </w:r>
          </w:p>
        </w:tc>
        <w:tc>
          <w:tcPr/>
          <w:p>
            <w:pPr>
              <w:pStyle w:val="Compact"/>
              <w:jc w:val="left"/>
            </w:pPr>
            <w:r>
              <w:t xml:space="preserve">Users</w:t>
            </w:r>
          </w:p>
        </w:tc>
        <w:tc>
          <w:tcPr/>
          <w:p>
            <w:pPr>
              <w:pStyle w:val="Compact"/>
              <w:jc w:val="left"/>
            </w:pPr>
            <w:r>
              <w:t xml:space="preserve">Active Month 1</w:t>
            </w:r>
          </w:p>
        </w:tc>
        <w:tc>
          <w:tcPr/>
          <w:p>
            <w:pPr>
              <w:pStyle w:val="Compact"/>
              <w:jc w:val="left"/>
            </w:pPr>
            <w:r>
              <w:t xml:space="preserve">Active Month 2</w:t>
            </w:r>
          </w:p>
        </w:tc>
        <w:tc>
          <w:tcPr/>
          <w:p>
            <w:pPr>
              <w:pStyle w:val="Compact"/>
              <w:jc w:val="left"/>
            </w:pPr>
            <w:r>
              <w:t xml:space="preserve">Active Month 3</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89"/>
    <w:bookmarkStart w:id="90" w:name="Xd3dc31accf55b8a48e8b526f52769595f558dda"/>
    <w:p>
      <w:pPr>
        <w:pStyle w:val="Heading2"/>
      </w:pPr>
      <w:r>
        <w:t xml:space="preserve">3. Growth experiment backlog, ICE-scored (scores are the founders' current judgement)</w:t>
      </w:r>
    </w:p>
    <w:tbl>
      <w:tblPr>
        <w:tblStyle w:val="Table"/>
        <w:tblW w:type="pct" w:w="5000"/>
        <w:tblLook w:firstRow="1" w:lastRow="0" w:firstColumn="0" w:lastColumn="0" w:noHBand="0" w:noVBand="0" w:val="0020"/>
        <w:jc w:val="start"/>
      </w:tblPr>
      <w:tblGrid>
        <w:gridCol w:w="2376"/>
        <w:gridCol w:w="2059"/>
        <w:gridCol w:w="712"/>
        <w:gridCol w:w="871"/>
        <w:gridCol w:w="633"/>
        <w:gridCol w:w="712"/>
        <w:gridCol w:w="554"/>
      </w:tblGrid>
      <w:tr>
        <w:trPr>
          <w:tblHeader w:val="true"/>
        </w:trPr>
        <w:tc>
          <w:tcPr/>
          <w:p>
            <w:pPr>
              <w:pStyle w:val="Compact"/>
              <w:jc w:val="left"/>
            </w:pPr>
            <w:r>
              <w:t xml:space="preserve">Experiment</w:t>
            </w:r>
          </w:p>
        </w:tc>
        <w:tc>
          <w:tcPr/>
          <w:p>
            <w:pPr>
              <w:pStyle w:val="Compact"/>
              <w:jc w:val="left"/>
            </w:pPr>
            <w:r>
              <w:t xml:space="preserve">Pass mark</w:t>
            </w:r>
          </w:p>
        </w:tc>
        <w:tc>
          <w:tcPr/>
          <w:p>
            <w:pPr>
              <w:pStyle w:val="Compact"/>
              <w:jc w:val="left"/>
            </w:pPr>
            <w:r>
              <w:t xml:space="preserve">Impact</w:t>
            </w:r>
          </w:p>
        </w:tc>
        <w:tc>
          <w:tcPr/>
          <w:p>
            <w:pPr>
              <w:pStyle w:val="Compact"/>
              <w:jc w:val="left"/>
            </w:pPr>
            <w:r>
              <w:t xml:space="preserve">Confidence</w:t>
            </w:r>
          </w:p>
        </w:tc>
        <w:tc>
          <w:tcPr/>
          <w:p>
            <w:pPr>
              <w:pStyle w:val="Compact"/>
              <w:jc w:val="left"/>
            </w:pPr>
            <w:r>
              <w:t xml:space="preserve">Ease</w:t>
            </w:r>
          </w:p>
        </w:tc>
        <w:tc>
          <w:tcPr/>
          <w:p>
            <w:pPr>
              <w:pStyle w:val="Compact"/>
              <w:jc w:val="left"/>
            </w:pPr>
            <w:r>
              <w:t xml:space="preserve">ICE total</w:t>
            </w:r>
          </w:p>
        </w:tc>
        <w:tc>
          <w:tcPr/>
          <w:p>
            <w:pPr>
              <w:pStyle w:val="Compact"/>
              <w:jc w:val="left"/>
            </w:pPr>
            <w:r>
              <w:t xml:space="preserve">Rank</w:t>
            </w:r>
          </w:p>
        </w:tc>
      </w:tr>
      <w:tr>
        <w:tc>
          <w:tcPr/>
          <w:p>
            <w:pPr>
              <w:pStyle w:val="Compact"/>
              <w:jc w:val="left"/>
            </w:pPr>
            <w:r>
              <w:t xml:space="preserve">In-clinic trial → purchase (10 clinics, 8 weeks)</w:t>
            </w:r>
          </w:p>
        </w:tc>
        <w:tc>
          <w:tcPr/>
          <w:p>
            <w:pPr>
              <w:pStyle w:val="Compact"/>
              <w:jc w:val="left"/>
            </w:pPr>
            <w:r>
              <w:t xml:space="preserve">≥30% buy at ₹9,999; CAC ≤ ₹1,079</w:t>
            </w:r>
          </w:p>
        </w:tc>
        <w:tc>
          <w:tcPr/>
          <w:p>
            <w:pPr>
              <w:pStyle w:val="Compact"/>
              <w:jc w:val="left"/>
            </w:pPr>
            <w:r>
              <w:t xml:space="preserve">9</w:t>
            </w:r>
          </w:p>
        </w:tc>
        <w:tc>
          <w:tcPr/>
          <w:p>
            <w:pPr>
              <w:pStyle w:val="Compact"/>
              <w:jc w:val="left"/>
            </w:pPr>
            <w:r>
              <w:t xml:space="preserve">5</w:t>
            </w:r>
          </w:p>
        </w:tc>
        <w:tc>
          <w:tcPr/>
          <w:p>
            <w:pPr>
              <w:pStyle w:val="Compact"/>
              <w:jc w:val="left"/>
            </w:pPr>
            <w:r>
              <w:t xml:space="preserve">5</w:t>
            </w:r>
          </w:p>
        </w:tc>
        <w:tc>
          <w:tcPr/>
          <w:p>
            <w:pPr>
              <w:pStyle w:val="Compact"/>
              <w:jc w:val="left"/>
            </w:pPr>
            <w:r>
              <w:t xml:space="preserve">19</w:t>
            </w:r>
          </w:p>
        </w:tc>
        <w:tc>
          <w:tcPr/>
          <w:p>
            <w:pPr>
              <w:pStyle w:val="Compact"/>
              <w:jc w:val="left"/>
            </w:pPr>
            <w:r>
              <w:t xml:space="preserve">1</w:t>
            </w:r>
          </w:p>
        </w:tc>
      </w:tr>
      <w:tr>
        <w:tc>
          <w:tcPr/>
          <w:p>
            <w:pPr>
              <w:pStyle w:val="Compact"/>
              <w:jc w:val="left"/>
            </w:pPr>
            <w:r>
              <w:t xml:space="preserve">ParkinSense wellness beta (100 users, 8 weeks)</w:t>
            </w:r>
          </w:p>
        </w:tc>
        <w:tc>
          <w:tcPr/>
          <w:p>
            <w:pPr>
              <w:pStyle w:val="Compact"/>
              <w:jc w:val="left"/>
            </w:pPr>
            <w:r>
              <w:t xml:space="preserve">≥40% weekly active; ≥25% would subscribe</w:t>
            </w:r>
          </w:p>
        </w:tc>
        <w:tc>
          <w:tcPr/>
          <w:p>
            <w:pPr>
              <w:pStyle w:val="Compact"/>
              <w:jc w:val="left"/>
            </w:pPr>
            <w:r>
              <w:t xml:space="preserve">7</w:t>
            </w:r>
          </w:p>
        </w:tc>
        <w:tc>
          <w:tcPr/>
          <w:p>
            <w:pPr>
              <w:pStyle w:val="Compact"/>
              <w:jc w:val="left"/>
            </w:pPr>
            <w:r>
              <w:t xml:space="preserve">5</w:t>
            </w:r>
          </w:p>
        </w:tc>
        <w:tc>
          <w:tcPr/>
          <w:p>
            <w:pPr>
              <w:pStyle w:val="Compact"/>
              <w:jc w:val="left"/>
            </w:pPr>
            <w:r>
              <w:t xml:space="preserve">6</w:t>
            </w:r>
          </w:p>
        </w:tc>
        <w:tc>
          <w:tcPr/>
          <w:p>
            <w:pPr>
              <w:pStyle w:val="Compact"/>
              <w:jc w:val="left"/>
            </w:pPr>
            <w:r>
              <w:t xml:space="preserve">18</w:t>
            </w:r>
          </w:p>
        </w:tc>
        <w:tc>
          <w:tcPr/>
          <w:p>
            <w:pPr>
              <w:pStyle w:val="Compact"/>
              <w:jc w:val="left"/>
            </w:pPr>
            <w:r>
              <w:t xml:space="preserve">2</w:t>
            </w:r>
          </w:p>
        </w:tc>
      </w:tr>
      <w:tr>
        <w:tc>
          <w:tcPr/>
          <w:p>
            <w:pPr>
              <w:pStyle w:val="Compact"/>
              <w:jc w:val="left"/>
            </w:pPr>
            <w:r>
              <w:t xml:space="preserve">Support-group referrals (PD/ET caregiver groups)</w:t>
            </w:r>
          </w:p>
        </w:tc>
        <w:tc>
          <w:tcPr/>
          <w:p>
            <w:pPr>
              <w:pStyle w:val="Compact"/>
              <w:jc w:val="left"/>
            </w:pPr>
            <w:r>
              <w:t xml:space="preserve">≥15% refer; CAC ≤ ₹800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17</w:t>
            </w:r>
          </w:p>
        </w:tc>
        <w:tc>
          <w:tcPr/>
          <w:p>
            <w:pPr>
              <w:pStyle w:val="Compact"/>
              <w:jc w:val="left"/>
            </w:pPr>
            <w:r>
              <w:t xml:space="preserve">3</w:t>
            </w:r>
          </w:p>
        </w:tc>
      </w:tr>
    </w:tbl>
    <w:p>
      <w:pPr>
        <w:pStyle w:val="BodyText"/>
      </w:pPr>
      <w:r>
        <w:t xml:space="preserve">ICE total = Impact + Confidence + Ease (each 1–10). Rank 1 runs first because it tests the riskiest commercial assumption (willingness to pay through clinics).</w:t>
      </w:r>
    </w:p>
    <w:bookmarkEnd w:id="90"/>
    <w:bookmarkEnd w:id="91"/>
    <w:bookmarkStart w:id="99" w:name="M4.3"/>
    <w:p>
      <w:pPr>
        <w:pStyle w:val="BodyText"/>
      </w:pPr>
      <w:r>
        <w:t xml:space="preserve">M4 · Activity 3 · Mandatory Model M4.3</w:t>
      </w:r>
    </w:p>
    <w:bookmarkStart w:id="92" w:name="X60e324d30ff8a3154754012a69e6f69cb16fa8b"/>
    <w:p>
      <w:pPr>
        <w:pStyle w:val="Heading1"/>
      </w:pPr>
      <w:r>
        <w:t xml:space="preserve">Fundraising Model, Cap Table &amp; Investor Pitch</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4</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92"/>
    <w:bookmarkStart w:id="93" w:name="the-ask-and-the-milestone-it-funds"/>
    <w:p>
      <w:pPr>
        <w:pStyle w:val="Heading2"/>
      </w:pPr>
      <w:r>
        <w:t xml:space="preserve">1. The ask and the milestone it funds</w:t>
      </w:r>
    </w:p>
    <w:p>
      <w:pPr>
        <w:pStyle w:val="FirstParagraph"/>
      </w:pPr>
      <w:r>
        <w:t xml:space="preserve">Raise</w:t>
      </w:r>
      <w:r>
        <w:t xml:space="preserve"> </w:t>
      </w:r>
      <w:r>
        <w:rPr>
          <w:bCs/>
          <w:b/>
        </w:rPr>
        <w:t xml:space="preserve">₹10,51,171</w:t>
      </w:r>
      <w:r>
        <w:t xml:space="preserve"> </w:t>
      </w:r>
      <w:r>
        <w:t xml:space="preserve">(Round 1) to fund Milestone 1 (M1–M6): both founders full-time, 12 study units, the preregistered user study, a provisional patent filing (planned) and a CDSCO classification opinion. Amount = Phase-1 peak cash gap ₹8,75,976 × 1.2 buffer.</w:t>
      </w:r>
    </w:p>
    <w:bookmarkEnd w:id="93"/>
    <w:bookmarkStart w:id="94" w:name="valuation"/>
    <w:p>
      <w:pPr>
        <w:pStyle w:val="Heading2"/>
      </w:pPr>
      <w:r>
        <w:t xml:space="preserve">2. Valuation</w:t>
      </w:r>
    </w:p>
    <w:p>
      <w:pPr>
        <w:pStyle w:val="FirstParagraph"/>
      </w:pPr>
      <w:r>
        <w:rPr>
          <w:bCs/>
          <w:b/>
        </w:rPr>
        <w:t xml:space="preserve">Proposed pre-money: ₹75,00,000 — a working negotiation target, not an independently verified market valuation.</w:t>
      </w:r>
      <w:r>
        <w:t xml:space="preserve"> </w:t>
      </w:r>
      <w:r>
        <w:t xml:space="preserve">Methods used, named explicitly:</w:t>
      </w:r>
    </w:p>
    <w:p>
      <w:pPr>
        <w:numPr>
          <w:ilvl w:val="0"/>
          <w:numId w:val="1007"/>
        </w:numPr>
        <w:pStyle w:val="Compact"/>
      </w:pPr>
      <w:r>
        <w:rPr>
          <w:bCs/>
          <w:b/>
        </w:rPr>
        <w:t xml:space="preserve">Cost-to-duplicate (floor):</w:t>
      </w:r>
      <w:r>
        <w:t xml:space="preserve"> </w:t>
      </w:r>
      <w:r>
        <w:t xml:space="preserve">34 person-months × ₹1,25,000 + ₹2,25,000 materials = ₹44,75,000.</w:t>
      </w:r>
    </w:p>
    <w:p>
      <w:pPr>
        <w:numPr>
          <w:ilvl w:val="0"/>
          <w:numId w:val="1007"/>
        </w:numPr>
        <w:pStyle w:val="Compact"/>
      </w:pPr>
      <w:r>
        <w:rPr>
          <w:bCs/>
          <w:b/>
        </w:rPr>
        <w:t xml:space="preserve">Berkus-style scorecard (cross-check):</w:t>
      </w:r>
      <w:r>
        <w:t xml:space="preserve"> </w:t>
      </w:r>
      <w:r>
        <w:t xml:space="preserve">₹15.0 L + ₹20.0 L + ₹12.5 L + ₹10.0 L + ₹2.5 L = ₹60,00,000.</w:t>
      </w:r>
    </w:p>
    <w:p>
      <w:pPr>
        <w:numPr>
          <w:ilvl w:val="0"/>
          <w:numId w:val="1007"/>
        </w:numPr>
        <w:pStyle w:val="Compact"/>
      </w:pPr>
      <w:r>
        <w:t xml:space="preserve">The premium above the cross-check reflects two products and a clinical evaluation in progress (founder-reported).</w:t>
      </w:r>
    </w:p>
    <w:bookmarkEnd w:id="94"/>
    <w:bookmarkStart w:id="95" w:name="arithmetic"/>
    <w:p>
      <w:pPr>
        <w:pStyle w:val="Heading2"/>
      </w:pPr>
      <w:r>
        <w:t xml:space="preserve">3. Arithmetic</w:t>
      </w:r>
    </w:p>
    <w:tbl>
      <w:tblPr>
        <w:tblStyle w:val="Table"/>
        <w:tblW w:type="pct" w:w="5000"/>
        <w:tblLook w:firstRow="1" w:lastRow="0" w:firstColumn="0" w:lastColumn="0" w:noHBand="0" w:noVBand="0" w:val="0020"/>
        <w:jc w:val="start"/>
      </w:tblPr>
      <w:tblGrid>
        <w:gridCol w:w="1584"/>
        <w:gridCol w:w="2851"/>
        <w:gridCol w:w="3484"/>
      </w:tblGrid>
      <w:tr>
        <w:trPr>
          <w:tblHeader w:val="true"/>
        </w:trPr>
        <w:tc>
          <w:tcPr/>
          <w:p>
            <w:pPr>
              <w:pStyle w:val="Compact"/>
            </w:pPr>
          </w:p>
        </w:tc>
        <w:tc>
          <w:tcPr/>
          <w:p>
            <w:pPr>
              <w:pStyle w:val="Compact"/>
              <w:jc w:val="left"/>
            </w:pPr>
            <w:r>
              <w:t xml:space="preserve">Formula</w:t>
            </w:r>
          </w:p>
        </w:tc>
        <w:tc>
          <w:tcPr/>
          <w:p>
            <w:pPr>
              <w:pStyle w:val="Compact"/>
              <w:jc w:val="left"/>
            </w:pPr>
            <w:r>
              <w:t xml:space="preserve">Value</w:t>
            </w:r>
          </w:p>
        </w:tc>
      </w:tr>
      <w:tr>
        <w:tc>
          <w:tcPr/>
          <w:p>
            <w:pPr>
              <w:pStyle w:val="Compact"/>
              <w:jc w:val="left"/>
            </w:pPr>
            <w:r>
              <w:t xml:space="preserve">Post-money</w:t>
            </w:r>
          </w:p>
        </w:tc>
        <w:tc>
          <w:tcPr/>
          <w:p>
            <w:pPr>
              <w:pStyle w:val="Compact"/>
              <w:jc w:val="left"/>
            </w:pPr>
            <w:r>
              <w:t xml:space="preserve">Pre-money + investment</w:t>
            </w:r>
          </w:p>
        </w:tc>
        <w:tc>
          <w:tcPr/>
          <w:p>
            <w:pPr>
              <w:pStyle w:val="Compact"/>
              <w:jc w:val="left"/>
            </w:pPr>
            <w:r>
              <w:t xml:space="preserve">₹75,00,000 + ₹10,51,171 =</w:t>
            </w:r>
            <w:r>
              <w:t xml:space="preserve"> </w:t>
            </w:r>
            <w:r>
              <w:rPr>
                <w:bCs/>
                <w:b/>
              </w:rPr>
              <w:t xml:space="preserve">₹85,51,171</w:t>
            </w:r>
          </w:p>
        </w:tc>
      </w:tr>
      <w:tr>
        <w:tc>
          <w:tcPr/>
          <w:p>
            <w:pPr>
              <w:pStyle w:val="Compact"/>
              <w:jc w:val="left"/>
            </w:pPr>
            <w:r>
              <w:t xml:space="preserve">Investor ownership</w:t>
            </w:r>
          </w:p>
        </w:tc>
        <w:tc>
          <w:tcPr/>
          <w:p>
            <w:pPr>
              <w:pStyle w:val="Compact"/>
              <w:jc w:val="left"/>
            </w:pPr>
            <w:r>
              <w:t xml:space="preserve">Investment ÷ post-money × 100</w:t>
            </w:r>
          </w:p>
        </w:tc>
        <w:tc>
          <w:tcPr/>
          <w:p>
            <w:pPr>
              <w:pStyle w:val="Compact"/>
              <w:jc w:val="left"/>
            </w:pPr>
            <w:r>
              <w:t xml:space="preserve">₹10,51,171 ÷ ₹85,51,171 =</w:t>
            </w:r>
            <w:r>
              <w:t xml:space="preserve"> </w:t>
            </w:r>
            <w:r>
              <w:rPr>
                <w:bCs/>
                <w:b/>
              </w:rPr>
              <w:t xml:space="preserve">12.29%</w:t>
            </w:r>
          </w:p>
        </w:tc>
      </w:tr>
      <w:tr>
        <w:tc>
          <w:tcPr/>
          <w:p>
            <w:pPr>
              <w:pStyle w:val="Compact"/>
              <w:jc w:val="left"/>
            </w:pPr>
            <w:r>
              <w:t xml:space="preserve">ESOP pool</w:t>
            </w:r>
          </w:p>
        </w:tc>
        <w:tc>
          <w:tcPr/>
          <w:p>
            <w:pPr>
              <w:pStyle w:val="Compact"/>
              <w:jc w:val="left"/>
            </w:pPr>
            <w:r>
              <w:t xml:space="preserve">set aside</w:t>
            </w:r>
          </w:p>
        </w:tc>
        <w:tc>
          <w:tcPr/>
          <w:p>
            <w:pPr>
              <w:pStyle w:val="Compact"/>
              <w:jc w:val="left"/>
            </w:pPr>
            <w:r>
              <w:rPr>
                <w:bCs/>
                <w:b/>
              </w:rPr>
              <w:t xml:space="preserve">5%</w:t>
            </w:r>
          </w:p>
        </w:tc>
      </w:tr>
      <w:tr>
        <w:tc>
          <w:tcPr/>
          <w:p>
            <w:pPr>
              <w:pStyle w:val="Compact"/>
              <w:jc w:val="left"/>
            </w:pPr>
            <w:r>
              <w:t xml:space="preserve">Founders</w:t>
            </w:r>
          </w:p>
        </w:tc>
        <w:tc>
          <w:tcPr/>
          <w:p>
            <w:pPr>
              <w:pStyle w:val="Compact"/>
              <w:jc w:val="left"/>
            </w:pPr>
            <w:r>
              <w:t xml:space="preserve">100% − investor − ESOP</w:t>
            </w:r>
          </w:p>
        </w:tc>
        <w:tc>
          <w:tcPr/>
          <w:p>
            <w:pPr>
              <w:pStyle w:val="Compact"/>
              <w:jc w:val="left"/>
            </w:pPr>
            <w:r>
              <w:rPr>
                <w:bCs/>
                <w:b/>
              </w:rPr>
              <w:t xml:space="preserve">82.71%</w:t>
            </w:r>
          </w:p>
        </w:tc>
      </w:tr>
    </w:tbl>
    <w:bookmarkEnd w:id="95"/>
    <w:bookmarkStart w:id="96" w:name="cap-table"/>
    <w:p>
      <w:pPr>
        <w:pStyle w:val="Heading2"/>
      </w:pPr>
      <w:r>
        <w:t xml:space="preserve">4. Cap table</w:t>
      </w:r>
    </w:p>
    <w:tbl>
      <w:tblPr>
        <w:tblStyle w:val="Table"/>
        <w:tblW w:type="pct" w:w="5000"/>
        <w:tblLook w:firstRow="1" w:lastRow="0" w:firstColumn="0" w:lastColumn="0" w:noHBand="0" w:noVBand="0" w:val="0020"/>
        <w:jc w:val="start"/>
      </w:tblPr>
      <w:tblGrid>
        <w:gridCol w:w="3168"/>
        <w:gridCol w:w="2376"/>
        <w:gridCol w:w="2376"/>
      </w:tblGrid>
      <w:tr>
        <w:trPr>
          <w:tblHeader w:val="true"/>
        </w:trPr>
        <w:tc>
          <w:tcPr/>
          <w:p>
            <w:pPr>
              <w:pStyle w:val="Compact"/>
              <w:jc w:val="left"/>
            </w:pPr>
            <w:r>
              <w:t xml:space="preserve">Holder</w:t>
            </w:r>
          </w:p>
        </w:tc>
        <w:tc>
          <w:tcPr/>
          <w:p>
            <w:pPr>
              <w:pStyle w:val="Compact"/>
              <w:jc w:val="left"/>
            </w:pPr>
            <w:r>
              <w:t xml:space="preserve">Before Round 1</w:t>
            </w:r>
          </w:p>
        </w:tc>
        <w:tc>
          <w:tcPr/>
          <w:p>
            <w:pPr>
              <w:pStyle w:val="Compact"/>
              <w:jc w:val="left"/>
            </w:pPr>
            <w:r>
              <w:t xml:space="preserve">After Round 1 (at ₹75 L pre)</w:t>
            </w:r>
          </w:p>
        </w:tc>
      </w:tr>
      <w:tr>
        <w:tc>
          <w:tcPr/>
          <w:p>
            <w:pPr>
              <w:pStyle w:val="Compact"/>
              <w:jc w:val="left"/>
            </w:pPr>
            <w:r>
              <w:t xml:space="preserve">Founders</w:t>
            </w:r>
          </w:p>
        </w:tc>
        <w:tc>
          <w:tcPr/>
          <w:p>
            <w:pPr>
              <w:pStyle w:val="Compact"/>
              <w:jc w:val="left"/>
            </w:pPr>
            <w:r>
              <w:t xml:space="preserve">100%</w:t>
            </w:r>
          </w:p>
        </w:tc>
        <w:tc>
          <w:tcPr/>
          <w:p>
            <w:pPr>
              <w:pStyle w:val="Compact"/>
              <w:jc w:val="left"/>
            </w:pPr>
            <w:r>
              <w:t xml:space="preserve">82.71%</w:t>
            </w:r>
          </w:p>
        </w:tc>
      </w:tr>
      <w:tr>
        <w:tc>
          <w:tcPr/>
          <w:p>
            <w:pPr>
              <w:pStyle w:val="Compact"/>
              <w:jc w:val="left"/>
            </w:pPr>
            <w:r>
              <w:t xml:space="preserve">ESOP pool</w:t>
            </w:r>
          </w:p>
        </w:tc>
        <w:tc>
          <w:tcPr/>
          <w:p>
            <w:pPr>
              <w:pStyle w:val="Compact"/>
              <w:jc w:val="left"/>
            </w:pPr>
            <w:r>
              <w:t xml:space="preserve">—</w:t>
            </w:r>
          </w:p>
        </w:tc>
        <w:tc>
          <w:tcPr/>
          <w:p>
            <w:pPr>
              <w:pStyle w:val="Compact"/>
              <w:jc w:val="left"/>
            </w:pPr>
            <w:r>
              <w:t xml:space="preserve">5.00%</w:t>
            </w:r>
          </w:p>
        </w:tc>
      </w:tr>
      <w:tr>
        <w:tc>
          <w:tcPr/>
          <w:p>
            <w:pPr>
              <w:pStyle w:val="Compact"/>
              <w:jc w:val="left"/>
            </w:pPr>
            <w:r>
              <w:t xml:space="preserve">Round-1 investor</w:t>
            </w:r>
          </w:p>
        </w:tc>
        <w:tc>
          <w:tcPr/>
          <w:p>
            <w:pPr>
              <w:pStyle w:val="Compact"/>
              <w:jc w:val="left"/>
            </w:pPr>
            <w:r>
              <w:t xml:space="preserve">—</w:t>
            </w:r>
          </w:p>
        </w:tc>
        <w:tc>
          <w:tcPr/>
          <w:p>
            <w:pPr>
              <w:pStyle w:val="Compact"/>
              <w:jc w:val="left"/>
            </w:pPr>
            <w:r>
              <w:t xml:space="preserve">12.29%</w:t>
            </w:r>
          </w:p>
        </w:tc>
      </w:tr>
      <w:tr>
        <w:tc>
          <w:tcPr/>
          <w:p>
            <w:pPr>
              <w:pStyle w:val="Compact"/>
              <w:jc w:val="left"/>
            </w:pPr>
            <w:r>
              <w:rPr>
                <w:bCs/>
                <w:b/>
              </w:rPr>
              <w:t xml:space="preserve">Total</w:t>
            </w:r>
          </w:p>
        </w:tc>
        <w:tc>
          <w:tcPr/>
          <w:p>
            <w:pPr>
              <w:pStyle w:val="Compact"/>
              <w:jc w:val="left"/>
            </w:pPr>
            <w:r>
              <w:t xml:space="preserve">100%</w:t>
            </w:r>
          </w:p>
        </w:tc>
        <w:tc>
          <w:tcPr/>
          <w:p>
            <w:pPr>
              <w:pStyle w:val="Compact"/>
              <w:jc w:val="left"/>
            </w:pPr>
            <w:r>
              <w:t xml:space="preserve">100%</w:t>
            </w:r>
          </w:p>
        </w:tc>
      </w:tr>
    </w:tbl>
    <w:p>
      <w:pPr>
        <w:pStyle w:val="BodyText"/>
      </w:pPr>
      <w:r>
        <w:t xml:space="preserve">The model treats the 5% ESOP pool as created at Round 1 alongside the investor (founders = 100% − 12.29% − 5%). Check: 82.71% + 5.00% + 12.29% = 100.00%.</w:t>
      </w:r>
    </w:p>
    <w:bookmarkEnd w:id="96"/>
    <w:bookmarkStart w:id="97" w:name="use-of-funds-phase-1-m1m6"/>
    <w:p>
      <w:pPr>
        <w:pStyle w:val="Heading2"/>
      </w:pPr>
      <w:r>
        <w:t xml:space="preserve">5. Use of funds (Phase 1, M1–M6)</w:t>
      </w:r>
    </w:p>
    <w:tbl>
      <w:tblPr>
        <w:tblStyle w:val="Table"/>
        <w:tblW w:type="pct" w:w="5000"/>
        <w:tblLook w:firstRow="1" w:lastRow="0" w:firstColumn="0" w:lastColumn="0" w:noHBand="0" w:noVBand="0" w:val="0020"/>
        <w:jc w:val="start"/>
      </w:tblPr>
      <w:tblGrid>
        <w:gridCol w:w="2059"/>
        <w:gridCol w:w="1108"/>
        <w:gridCol w:w="792"/>
        <w:gridCol w:w="3960"/>
      </w:tblGrid>
      <w:tr>
        <w:trPr>
          <w:tblHeader w:val="true"/>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Share</w:t>
            </w:r>
          </w:p>
        </w:tc>
        <w:tc>
          <w:tcPr/>
          <w:p>
            <w:pPr>
              <w:pStyle w:val="Compact"/>
              <w:jc w:val="left"/>
            </w:pPr>
            <w:r>
              <w:t xml:space="preserve">What it buys</w:t>
            </w:r>
          </w:p>
        </w:tc>
      </w:tr>
      <w:tr>
        <w:tc>
          <w:tcPr/>
          <w:p>
            <w:pPr>
              <w:pStyle w:val="Compact"/>
              <w:jc w:val="left"/>
            </w:pPr>
            <w:r>
              <w:t xml:space="preserve">Team</w:t>
            </w:r>
          </w:p>
        </w:tc>
        <w:tc>
          <w:tcPr/>
          <w:p>
            <w:pPr>
              <w:pStyle w:val="Compact"/>
              <w:jc w:val="left"/>
            </w:pPr>
            <w:r>
              <w:t xml:space="preserve">₹2,70,000</w:t>
            </w:r>
          </w:p>
        </w:tc>
        <w:tc>
          <w:tcPr/>
          <w:p>
            <w:pPr>
              <w:pStyle w:val="Compact"/>
              <w:jc w:val="left"/>
            </w:pPr>
            <w:r>
              <w:t xml:space="preserve">31%</w:t>
            </w:r>
          </w:p>
        </w:tc>
        <w:tc>
          <w:tcPr/>
          <w:p>
            <w:pPr>
              <w:pStyle w:val="Compact"/>
              <w:jc w:val="left"/>
            </w:pPr>
            <w:r>
              <w:t xml:space="preserve">Both founders full-time for six months</w:t>
            </w:r>
          </w:p>
        </w:tc>
      </w:tr>
      <w:tr>
        <w:tc>
          <w:tcPr/>
          <w:p>
            <w:pPr>
              <w:pStyle w:val="Compact"/>
              <w:jc w:val="left"/>
            </w:pPr>
            <w:r>
              <w:t xml:space="preserve">Validation (both products)</w:t>
            </w:r>
          </w:p>
        </w:tc>
        <w:tc>
          <w:tcPr/>
          <w:p>
            <w:pPr>
              <w:pStyle w:val="Compact"/>
              <w:jc w:val="left"/>
            </w:pPr>
            <w:r>
              <w:t xml:space="preserve">₹1,58,341</w:t>
            </w:r>
          </w:p>
        </w:tc>
        <w:tc>
          <w:tcPr/>
          <w:p>
            <w:pPr>
              <w:pStyle w:val="Compact"/>
              <w:jc w:val="left"/>
            </w:pPr>
            <w:r>
              <w:t xml:space="preserve">18%</w:t>
            </w:r>
          </w:p>
        </w:tc>
        <w:tc>
          <w:tcPr/>
          <w:p>
            <w:pPr>
              <w:pStyle w:val="Compact"/>
              <w:jc w:val="left"/>
            </w:pPr>
            <w:r>
              <w:t xml:space="preserve">12 TremoSense study units and the user study (n ≥ 10); ParkinSense reference testing</w:t>
            </w:r>
          </w:p>
        </w:tc>
      </w:tr>
      <w:tr>
        <w:tc>
          <w:tcPr/>
          <w:p>
            <w:pPr>
              <w:pStyle w:val="Compact"/>
              <w:jc w:val="left"/>
            </w:pPr>
            <w:r>
              <w:t xml:space="preserve">Regulatory &amp; quality</w:t>
            </w:r>
          </w:p>
        </w:tc>
        <w:tc>
          <w:tcPr/>
          <w:p>
            <w:pPr>
              <w:pStyle w:val="Compact"/>
              <w:jc w:val="left"/>
            </w:pPr>
            <w:r>
              <w:t xml:space="preserve">₹30,000</w:t>
            </w:r>
          </w:p>
        </w:tc>
        <w:tc>
          <w:tcPr/>
          <w:p>
            <w:pPr>
              <w:pStyle w:val="Compact"/>
              <w:jc w:val="left"/>
            </w:pPr>
            <w:r>
              <w:t xml:space="preserve">3%</w:t>
            </w:r>
          </w:p>
        </w:tc>
        <w:tc>
          <w:tcPr/>
          <w:p>
            <w:pPr>
              <w:pStyle w:val="Compact"/>
              <w:jc w:val="left"/>
            </w:pPr>
            <w:r>
              <w:t xml:space="preserve">CDSCO classification opinion and ethics approval</w:t>
            </w:r>
          </w:p>
        </w:tc>
      </w:tr>
      <w:tr>
        <w:tc>
          <w:tcPr/>
          <w:p>
            <w:pPr>
              <w:pStyle w:val="Compact"/>
              <w:jc w:val="left"/>
            </w:pPr>
            <w:r>
              <w:t xml:space="preserve">Prototyping, tools, IP</w:t>
            </w:r>
          </w:p>
        </w:tc>
        <w:tc>
          <w:tcPr/>
          <w:p>
            <w:pPr>
              <w:pStyle w:val="Compact"/>
              <w:jc w:val="left"/>
            </w:pPr>
            <w:r>
              <w:t xml:space="preserve">₹2,53,000</w:t>
            </w:r>
          </w:p>
        </w:tc>
        <w:tc>
          <w:tcPr/>
          <w:p>
            <w:pPr>
              <w:pStyle w:val="Compact"/>
              <w:jc w:val="left"/>
            </w:pPr>
            <w:r>
              <w:t xml:space="preserve">29%</w:t>
            </w:r>
          </w:p>
        </w:tc>
        <w:tc>
          <w:tcPr/>
          <w:p>
            <w:pPr>
              <w:pStyle w:val="Compact"/>
              <w:jc w:val="left"/>
            </w:pPr>
            <w:r>
              <w:t xml:space="preserve">Provisional patent, test equipment and prototype iterations</w:t>
            </w:r>
          </w:p>
        </w:tc>
      </w:tr>
      <w:tr>
        <w:tc>
          <w:tcPr/>
          <w:p>
            <w:pPr>
              <w:pStyle w:val="Compact"/>
              <w:jc w:val="left"/>
            </w:pPr>
            <w:r>
              <w:t xml:space="preserve">Go-to-market &amp; admin</w:t>
            </w:r>
          </w:p>
        </w:tc>
        <w:tc>
          <w:tcPr/>
          <w:p>
            <w:pPr>
              <w:pStyle w:val="Compact"/>
              <w:jc w:val="left"/>
            </w:pPr>
            <w:r>
              <w:t xml:space="preserve">₹85,000</w:t>
            </w:r>
          </w:p>
        </w:tc>
        <w:tc>
          <w:tcPr/>
          <w:p>
            <w:pPr>
              <w:pStyle w:val="Compact"/>
              <w:jc w:val="left"/>
            </w:pPr>
            <w:r>
              <w:t xml:space="preserve">10%</w:t>
            </w:r>
          </w:p>
        </w:tc>
        <w:tc>
          <w:tcPr/>
          <w:p>
            <w:pPr>
              <w:pStyle w:val="Compact"/>
              <w:jc w:val="left"/>
            </w:pPr>
            <w:r>
              <w:t xml:space="preserve">Clinic outreach for the trial-to-purchase test; company admin</w:t>
            </w:r>
          </w:p>
        </w:tc>
      </w:tr>
      <w:tr>
        <w:tc>
          <w:tcPr/>
          <w:p>
            <w:pPr>
              <w:pStyle w:val="Compact"/>
              <w:jc w:val="left"/>
            </w:pPr>
            <w:r>
              <w:t xml:space="preserve">Contingency</w:t>
            </w:r>
          </w:p>
        </w:tc>
        <w:tc>
          <w:tcPr/>
          <w:p>
            <w:pPr>
              <w:pStyle w:val="Compact"/>
              <w:jc w:val="left"/>
            </w:pPr>
            <w:r>
              <w:t xml:space="preserve">₹79,634</w:t>
            </w:r>
          </w:p>
        </w:tc>
        <w:tc>
          <w:tcPr/>
          <w:p>
            <w:pPr>
              <w:pStyle w:val="Compact"/>
              <w:jc w:val="left"/>
            </w:pPr>
            <w:r>
              <w:t xml:space="preserve">9%</w:t>
            </w:r>
          </w:p>
        </w:tc>
        <w:tc>
          <w:tcPr/>
          <w:p>
            <w:pPr>
              <w:pStyle w:val="Compact"/>
              <w:jc w:val="left"/>
            </w:pPr>
            <w:r>
              <w:t xml:space="preserve">Buffer for slips and price changes</w:t>
            </w:r>
          </w:p>
        </w:tc>
      </w:tr>
      <w:tr>
        <w:tc>
          <w:tcPr/>
          <w:p>
            <w:pPr>
              <w:pStyle w:val="Compact"/>
              <w:jc w:val="left"/>
            </w:pPr>
            <w:r>
              <w:rPr>
                <w:bCs/>
                <w:b/>
              </w:rPr>
              <w:t xml:space="preserve">Total Phase 1</w:t>
            </w:r>
          </w:p>
        </w:tc>
        <w:tc>
          <w:tcPr/>
          <w:p>
            <w:pPr>
              <w:pStyle w:val="Compact"/>
              <w:jc w:val="left"/>
            </w:pPr>
            <w:r>
              <w:rPr>
                <w:bCs/>
                <w:b/>
              </w:rPr>
              <w:t xml:space="preserve">₹8,75,976</w:t>
            </w:r>
          </w:p>
        </w:tc>
        <w:tc>
          <w:tcPr/>
          <w:p>
            <w:pPr>
              <w:pStyle w:val="Compact"/>
              <w:jc w:val="left"/>
            </w:pPr>
            <w:r>
              <w:t xml:space="preserve">100%</w:t>
            </w:r>
          </w:p>
        </w:tc>
        <w:tc>
          <w:tcPr/>
          <w:p>
            <w:pPr>
              <w:pStyle w:val="Compact"/>
              <w:jc w:val="left"/>
            </w:pPr>
            <w:r>
              <w:t xml:space="preserve">Round = this × 1.2 = ₹10,51,171</w:t>
            </w:r>
          </w:p>
        </w:tc>
      </w:tr>
    </w:tbl>
    <w:p>
      <w:pPr>
        <w:pStyle w:val="BodyText"/>
      </w:pPr>
      <w:r>
        <w:rPr>
          <w:bCs/>
          <w:b/>
        </w:rPr>
        <w:t xml:space="preserve">Runway:</w:t>
      </w:r>
      <w:r>
        <w:t xml:space="preserve"> </w:t>
      </w:r>
      <w:r>
        <w:t xml:space="preserve">7.2 months at Phase-1 burn.</w:t>
      </w:r>
      <w:r>
        <w:t xml:space="preserve"> </w:t>
      </w:r>
      <w:r>
        <w:rPr>
          <w:bCs/>
          <w:b/>
        </w:rPr>
        <w:t xml:space="preserve">After this round:</w:t>
      </w:r>
      <w:r>
        <w:t xml:space="preserve"> </w:t>
      </w:r>
      <w:r>
        <w:t xml:space="preserve">tranche 2 of ₹37.71 L must close by M7 (Jan 2028), priced on the M6 result; total to break-even ₹48.22 L.</w:t>
      </w:r>
      <w:r>
        <w:t xml:space="preserve"> </w:t>
      </w:r>
      <w:r>
        <w:rPr>
          <w:bCs/>
          <w:b/>
        </w:rPr>
        <w:t xml:space="preserve">Startup India Seed Fund grant (₹20 L): applied for, not secured, and not counted.</w:t>
      </w:r>
    </w:p>
    <w:bookmarkEnd w:id="97"/>
    <w:bookmarkStart w:id="98" w:name="short-investor-pitch"/>
    <w:p>
      <w:pPr>
        <w:pStyle w:val="Heading2"/>
      </w:pPr>
      <w:r>
        <w:t xml:space="preserve">6. Short investor pitch</w:t>
      </w:r>
    </w:p>
    <w:p>
      <w:pPr>
        <w:pStyle w:val="BlockText"/>
      </w:pPr>
      <w:r>
        <w:t xml:space="preserve">AVERRA engineers better movement intelligence. TremoSense is an active stabilising spoon that rejects about 90% of tremor on our bench, founder-reported, at ₹9,999, a quarter of imported alternatives; ParkinSense is a ₹7,999 wellness band with tremor detection, in a clinical evaluation with ICMR. Every unit is profitable from the first sale: ₹2,538 contribution on TremoSense. We are raising ₹10.51 L at a ₹75 L pre-money for 12.3% to reach one clear answer in six months: a preregistered user study with at least ten people. If the median tremor reduction is below 30%, we stop TremoSense.</w:t>
      </w:r>
    </w:p>
    <w:p>
      <w:pPr>
        <w:pStyle w:val="FirstParagraph"/>
      </w:pPr>
      <w:r>
        <w:t xml:space="preserve">Mock-panel pitch date: ________ · Panel questions and our answers: ____________________ (fill in after the class pitch).</w:t>
      </w:r>
    </w:p>
    <w:bookmarkEnd w:id="98"/>
    <w:bookmarkEnd w:id="99"/>
    <w:bookmarkStart w:id="105" w:name="M5.1"/>
    <w:p>
      <w:pPr>
        <w:pStyle w:val="BodyText"/>
      </w:pPr>
      <w:r>
        <w:t xml:space="preserve">M5 · Activity 1 · Mandatory Model M5.1</w:t>
      </w:r>
    </w:p>
    <w:bookmarkStart w:id="100" w:name="sustainable-ethical-enterprise-blueprint"/>
    <w:p>
      <w:pPr>
        <w:pStyle w:val="Heading1"/>
      </w:pPr>
      <w:r>
        <w:t xml:space="preserve">Sustainable &amp; Ethical Enterprise Blueprint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1</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100"/>
    <w:bookmarkStart w:id="101" w:name="X0618f29c4b47fe1fbb26f2e36aa0a0468664eef"/>
    <w:p>
      <w:pPr>
        <w:pStyle w:val="Heading2"/>
      </w:pPr>
      <w:r>
        <w:t xml:space="preserve">1. Stakeholders beyond customers and investors</w:t>
      </w:r>
    </w:p>
    <w:tbl>
      <w:tblPr>
        <w:tblStyle w:val="Table"/>
        <w:tblW w:type="pct" w:w="5000"/>
        <w:tblLook w:firstRow="1" w:lastRow="0" w:firstColumn="0" w:lastColumn="0" w:noHBand="0" w:noVBand="0" w:val="0020"/>
        <w:jc w:val="start"/>
      </w:tblPr>
      <w:tblGrid>
        <w:gridCol w:w="1900"/>
        <w:gridCol w:w="2851"/>
        <w:gridCol w:w="3168"/>
      </w:tblGrid>
      <w:tr>
        <w:trPr>
          <w:tblHeader w:val="true"/>
        </w:trPr>
        <w:tc>
          <w:tcPr/>
          <w:p>
            <w:pPr>
              <w:pStyle w:val="Compact"/>
              <w:jc w:val="left"/>
            </w:pPr>
            <w:r>
              <w:t xml:space="preserve">Stakeholder</w:t>
            </w:r>
          </w:p>
        </w:tc>
        <w:tc>
          <w:tcPr/>
          <w:p>
            <w:pPr>
              <w:pStyle w:val="Compact"/>
              <w:jc w:val="left"/>
            </w:pPr>
            <w:r>
              <w:t xml:space="preserve">How AVERRA affects them</w:t>
            </w:r>
          </w:p>
        </w:tc>
        <w:tc>
          <w:tcPr/>
          <w:p>
            <w:pPr>
              <w:pStyle w:val="Compact"/>
              <w:jc w:val="left"/>
            </w:pPr>
            <w:r>
              <w:t xml:space="preserve">Our commitment</w:t>
            </w:r>
          </w:p>
        </w:tc>
      </w:tr>
      <w:tr>
        <w:tc>
          <w:tcPr/>
          <w:p>
            <w:pPr>
              <w:pStyle w:val="Compact"/>
              <w:jc w:val="left"/>
            </w:pPr>
            <w:r>
              <w:t xml:space="preserve">Caregivers and families</w:t>
            </w:r>
          </w:p>
        </w:tc>
        <w:tc>
          <w:tcPr/>
          <w:p>
            <w:pPr>
              <w:pStyle w:val="Compact"/>
              <w:jc w:val="left"/>
            </w:pPr>
            <w:r>
              <w:t xml:space="preserve">Time and stress at meals; they often pay</w:t>
            </w:r>
          </w:p>
        </w:tc>
        <w:tc>
          <w:tcPr/>
          <w:p>
            <w:pPr>
              <w:pStyle w:val="Compact"/>
              <w:jc w:val="left"/>
            </w:pPr>
            <w:r>
              <w:t xml:space="preserve">Honest claims; rental option; clear return policy</w:t>
            </w:r>
          </w:p>
        </w:tc>
      </w:tr>
      <w:tr>
        <w:tc>
          <w:tcPr/>
          <w:p>
            <w:pPr>
              <w:pStyle w:val="Compact"/>
              <w:jc w:val="left"/>
            </w:pPr>
            <w:r>
              <w:t xml:space="preserve">Clinicians and OT therapists</w:t>
            </w:r>
          </w:p>
        </w:tc>
        <w:tc>
          <w:tcPr/>
          <w:p>
            <w:pPr>
              <w:pStyle w:val="Compact"/>
              <w:jc w:val="left"/>
            </w:pPr>
            <w:r>
              <w:t xml:space="preserve">Referrals carry their reputation</w:t>
            </w:r>
          </w:p>
        </w:tc>
        <w:tc>
          <w:tcPr/>
          <w:p>
            <w:pPr>
              <w:pStyle w:val="Compact"/>
              <w:jc w:val="left"/>
            </w:pPr>
            <w:r>
              <w:t xml:space="preserve">Share study results, including negative ones; no referral kickbacks</w:t>
            </w:r>
          </w:p>
        </w:tc>
      </w:tr>
      <w:tr>
        <w:tc>
          <w:tcPr/>
          <w:p>
            <w:pPr>
              <w:pStyle w:val="Compact"/>
              <w:jc w:val="left"/>
            </w:pPr>
            <w:r>
              <w:t xml:space="preserve">Employees and contractors</w:t>
            </w:r>
          </w:p>
        </w:tc>
        <w:tc>
          <w:tcPr/>
          <w:p>
            <w:pPr>
              <w:pStyle w:val="Compact"/>
              <w:jc w:val="left"/>
            </w:pPr>
            <w:r>
              <w:t xml:space="preserve">Assembly and test work, data access</w:t>
            </w:r>
          </w:p>
        </w:tc>
        <w:tc>
          <w:tcPr/>
          <w:p>
            <w:pPr>
              <w:pStyle w:val="Compact"/>
              <w:jc w:val="left"/>
            </w:pPr>
            <w:r>
              <w:t xml:space="preserve">Fair pay; safety training for battery handling; data-access controls</w:t>
            </w:r>
          </w:p>
        </w:tc>
      </w:tr>
      <w:tr>
        <w:tc>
          <w:tcPr/>
          <w:p>
            <w:pPr>
              <w:pStyle w:val="Compact"/>
              <w:jc w:val="left"/>
            </w:pPr>
            <w:r>
              <w:t xml:space="preserve">Suppliers and contract assembler</w:t>
            </w:r>
          </w:p>
        </w:tc>
        <w:tc>
          <w:tcPr/>
          <w:p>
            <w:pPr>
              <w:pStyle w:val="Compact"/>
              <w:jc w:val="left"/>
            </w:pPr>
            <w:r>
              <w:t xml:space="preserve">Volume, payment terms</w:t>
            </w:r>
          </w:p>
        </w:tc>
        <w:tc>
          <w:tcPr/>
          <w:p>
            <w:pPr>
              <w:pStyle w:val="Compact"/>
              <w:jc w:val="left"/>
            </w:pPr>
            <w:r>
              <w:t xml:space="preserve">Pay within 30 days; no forced price cuts after orders</w:t>
            </w:r>
          </w:p>
        </w:tc>
      </w:tr>
      <w:tr>
        <w:tc>
          <w:tcPr/>
          <w:p>
            <w:pPr>
              <w:pStyle w:val="Compact"/>
              <w:jc w:val="left"/>
            </w:pPr>
            <w:r>
              <w:t xml:space="preserve">Environment</w:t>
            </w:r>
          </w:p>
        </w:tc>
        <w:tc>
          <w:tcPr/>
          <w:p>
            <w:pPr>
              <w:pStyle w:val="Compact"/>
              <w:jc w:val="left"/>
            </w:pPr>
            <w:r>
              <w:t xml:space="preserve">LiPo batteries, electronics, plastic</w:t>
            </w:r>
          </w:p>
        </w:tc>
        <w:tc>
          <w:tcPr/>
          <w:p>
            <w:pPr>
              <w:pStyle w:val="Compact"/>
              <w:jc w:val="left"/>
            </w:pPr>
            <w:r>
              <w:t xml:space="preserve">Take-back and refurbishment programme; RoHS-compliant parts</w:t>
            </w:r>
          </w:p>
        </w:tc>
      </w:tr>
      <w:tr>
        <w:tc>
          <w:tcPr/>
          <w:p>
            <w:pPr>
              <w:pStyle w:val="Compact"/>
              <w:jc w:val="left"/>
            </w:pPr>
            <w:r>
              <w:t xml:space="preserve">Community / research participants</w:t>
            </w:r>
          </w:p>
        </w:tc>
        <w:tc>
          <w:tcPr/>
          <w:p>
            <w:pPr>
              <w:pStyle w:val="Compact"/>
              <w:jc w:val="left"/>
            </w:pPr>
            <w:r>
              <w:t xml:space="preserve">Study participants' health data</w:t>
            </w:r>
          </w:p>
        </w:tc>
        <w:tc>
          <w:tcPr/>
          <w:p>
            <w:pPr>
              <w:pStyle w:val="Compact"/>
              <w:jc w:val="left"/>
            </w:pPr>
            <w:r>
              <w:t xml:space="preserve">Ethics approval, informed consent, data minimisation</w:t>
            </w:r>
          </w:p>
        </w:tc>
      </w:tr>
    </w:tbl>
    <w:bookmarkEnd w:id="101"/>
    <w:bookmarkStart w:id="102" w:name="one-specific-esg-improvement"/>
    <w:p>
      <w:pPr>
        <w:pStyle w:val="Heading2"/>
      </w:pPr>
      <w:r>
        <w:t xml:space="preserve">2. One specific ESG improvement</w:t>
      </w:r>
    </w:p>
    <w:p>
      <w:pPr>
        <w:pStyle w:val="FirstParagraph"/>
      </w:pPr>
      <w:r>
        <w:rPr>
          <w:bCs/>
          <w:b/>
        </w:rPr>
        <w:t xml:space="preserve">Device take-back and refurbishment (environmental + social).</w:t>
      </w:r>
      <w:r>
        <w:t xml:space="preserve"> </w:t>
      </w:r>
      <w:r>
        <w:t xml:space="preserve">Every TremoSense and ParkinSense comes with a prepaid return label at end of life or after a rental ends. Returned units are tested on the same calibration rig, refurbished and re-rented at a lower rate to families who cannot afford ₹9,999; LiPo cells and e-waste go to an authorised recycler under India's E-Waste (Management) Rules 2022. Target: ≥50% of rental units refurbished at least once.</w:t>
      </w:r>
    </w:p>
    <w:bookmarkEnd w:id="102"/>
    <w:bookmarkStart w:id="103" w:name="ethical-red-lines-and-scenario-tests"/>
    <w:p>
      <w:pPr>
        <w:pStyle w:val="Heading2"/>
      </w:pPr>
      <w:r>
        <w:t xml:space="preserve">3. Ethical red lines and scenario tests</w:t>
      </w:r>
    </w:p>
    <w:tbl>
      <w:tblPr>
        <w:tblStyle w:val="Table"/>
        <w:tblW w:type="pct" w:w="5000"/>
        <w:tblLook w:firstRow="1" w:lastRow="0" w:firstColumn="0" w:lastColumn="0" w:noHBand="0" w:noVBand="0" w:val="0020"/>
        <w:jc w:val="start"/>
      </w:tblPr>
      <w:tblGrid>
        <w:gridCol w:w="2376"/>
        <w:gridCol w:w="2534"/>
        <w:gridCol w:w="3009"/>
      </w:tblGrid>
      <w:tr>
        <w:trPr>
          <w:tblHeader w:val="true"/>
        </w:trPr>
        <w:tc>
          <w:tcPr/>
          <w:p>
            <w:pPr>
              <w:pStyle w:val="Compact"/>
              <w:jc w:val="left"/>
            </w:pPr>
            <w:r>
              <w:t xml:space="preserve">Red line</w:t>
            </w:r>
          </w:p>
        </w:tc>
        <w:tc>
          <w:tcPr/>
          <w:p>
            <w:pPr>
              <w:pStyle w:val="Compact"/>
              <w:jc w:val="left"/>
            </w:pPr>
            <w:r>
              <w:t xml:space="preserve">Tempting, realistic scenario</w:t>
            </w:r>
          </w:p>
        </w:tc>
        <w:tc>
          <w:tcPr/>
          <w:p>
            <w:pPr>
              <w:pStyle w:val="Compact"/>
              <w:jc w:val="left"/>
            </w:pPr>
            <w:r>
              <w:t xml:space="preserve">What we do</w:t>
            </w:r>
          </w:p>
        </w:tc>
      </w:tr>
      <w:tr>
        <w:tc>
          <w:tcPr/>
          <w:p>
            <w:pPr>
              <w:pStyle w:val="Compact"/>
              <w:jc w:val="left"/>
            </w:pPr>
            <w:r>
              <w:t xml:space="preserve">We will never claim ParkinSense diagnoses or predicts Parkinson's until clinical results support it</w:t>
            </w:r>
          </w:p>
        </w:tc>
        <w:tc>
          <w:tcPr/>
          <w:p>
            <w:pPr>
              <w:pStyle w:val="Compact"/>
              <w:jc w:val="left"/>
            </w:pPr>
            <w:r>
              <w:t xml:space="preserve">A marketing partner says “early Parkinson's detection” would triple sign-ups</w:t>
            </w:r>
          </w:p>
        </w:tc>
        <w:tc>
          <w:tcPr/>
          <w:p>
            <w:pPr>
              <w:pStyle w:val="Compact"/>
              <w:jc w:val="left"/>
            </w:pPr>
            <w:r>
              <w:t xml:space="preserve">Refuse. Market it as a wellness band with tremor insight; add clinical claims only after ICMR results and regulatory approval</w:t>
            </w:r>
          </w:p>
        </w:tc>
      </w:tr>
      <w:tr>
        <w:tc>
          <w:tcPr/>
          <w:p>
            <w:pPr>
              <w:pStyle w:val="Compact"/>
              <w:jc w:val="left"/>
            </w:pPr>
            <w:r>
              <w:t xml:space="preserve">We will never sell or share identifiable health or movement data</w:t>
            </w:r>
          </w:p>
        </w:tc>
        <w:tc>
          <w:tcPr/>
          <w:p>
            <w:pPr>
              <w:pStyle w:val="Compact"/>
              <w:jc w:val="left"/>
            </w:pPr>
            <w:r>
              <w:t xml:space="preserve">An insurer offers ₹10 L a year for anonymised tremor data</w:t>
            </w:r>
          </w:p>
        </w:tc>
        <w:tc>
          <w:tcPr/>
          <w:p>
            <w:pPr>
              <w:pStyle w:val="Compact"/>
              <w:jc w:val="left"/>
            </w:pPr>
            <w:r>
              <w:t xml:space="preserve">Decline unless users give explicit, separate opt-in consent and the data is genuinely de-identified under India's DPDP Act 2023</w:t>
            </w:r>
          </w:p>
        </w:tc>
      </w:tr>
      <w:tr>
        <w:tc>
          <w:tcPr/>
          <w:p>
            <w:pPr>
              <w:pStyle w:val="Compact"/>
              <w:jc w:val="left"/>
            </w:pPr>
            <w:r>
              <w:t xml:space="preserve">We will never hide or reword a failed validation result</w:t>
            </w:r>
          </w:p>
        </w:tc>
        <w:tc>
          <w:tcPr/>
          <w:p>
            <w:pPr>
              <w:pStyle w:val="Compact"/>
              <w:jc w:val="left"/>
            </w:pPr>
            <w:r>
              <w:t xml:space="preserve">The M6 study shows 35% reduction, below our 50% target, just before tranche 2</w:t>
            </w:r>
          </w:p>
        </w:tc>
        <w:tc>
          <w:tcPr/>
          <w:p>
            <w:pPr>
              <w:pStyle w:val="Compact"/>
              <w:jc w:val="left"/>
            </w:pPr>
            <w:r>
              <w:t xml:space="preserve">Report the result as preregistered, follow the redesign rule, and tell investors before they decide</w:t>
            </w:r>
          </w:p>
        </w:tc>
      </w:tr>
    </w:tbl>
    <w:bookmarkEnd w:id="103"/>
    <w:bookmarkStart w:id="104" w:name="X45a1c8f233085b7578e3a325d59ef568cbfb8f2"/>
    <w:p>
      <w:pPr>
        <w:pStyle w:val="Heading2"/>
      </w:pPr>
      <w:r>
        <w:t xml:space="preserve">4. Responsibilities specific to biomedical wearables and assistive technology</w:t>
      </w:r>
    </w:p>
    <w:p>
      <w:pPr>
        <w:numPr>
          <w:ilvl w:val="0"/>
          <w:numId w:val="1008"/>
        </w:numPr>
        <w:pStyle w:val="Compact"/>
      </w:pPr>
      <w:r>
        <w:rPr>
          <w:bCs/>
          <w:b/>
        </w:rPr>
        <w:t xml:space="preserve">Data privacy:</w:t>
      </w:r>
      <w:r>
        <w:t xml:space="preserve"> </w:t>
      </w:r>
      <w:r>
        <w:t xml:space="preserve">minimal data collection; on-device or encrypted transfer; deletion on request (DPDP Act 2023).</w:t>
      </w:r>
    </w:p>
    <w:p>
      <w:pPr>
        <w:numPr>
          <w:ilvl w:val="0"/>
          <w:numId w:val="1008"/>
        </w:numPr>
        <w:pStyle w:val="Compact"/>
      </w:pPr>
      <w:r>
        <w:rPr>
          <w:bCs/>
          <w:b/>
        </w:rPr>
        <w:t xml:space="preserve">Accessibility:</w:t>
      </w:r>
      <w:r>
        <w:t xml:space="preserve"> </w:t>
      </w:r>
      <w:r>
        <w:t xml:space="preserve">large controls, no small screens to read, caregiver-friendly onboarding, regional-language manuals, rental for affordability.</w:t>
      </w:r>
    </w:p>
    <w:p>
      <w:pPr>
        <w:numPr>
          <w:ilvl w:val="0"/>
          <w:numId w:val="1008"/>
        </w:numPr>
        <w:pStyle w:val="Compact"/>
      </w:pPr>
      <w:r>
        <w:rPr>
          <w:bCs/>
          <w:b/>
        </w:rPr>
        <w:t xml:space="preserve">Truthful claims:</w:t>
      </w:r>
      <w:r>
        <w:t xml:space="preserve"> </w:t>
      </w:r>
      <w:r>
        <w:t xml:space="preserve">“≈90% on a bench simulator (founder-reported)” is never shortened to “90% less tremor”.</w:t>
      </w:r>
    </w:p>
    <w:p>
      <w:pPr>
        <w:numPr>
          <w:ilvl w:val="0"/>
          <w:numId w:val="1008"/>
        </w:numPr>
        <w:pStyle w:val="Compact"/>
      </w:pPr>
      <w:r>
        <w:rPr>
          <w:bCs/>
          <w:b/>
        </w:rPr>
        <w:t xml:space="preserve">Unvalidated features:</w:t>
      </w:r>
      <w:r>
        <w:t xml:space="preserve"> </w:t>
      </w:r>
      <w:r>
        <w:t xml:space="preserve">HR/HRV/SpO₂ are labelled research-grade until validated against reference devices.</w:t>
      </w:r>
    </w:p>
    <w:bookmarkEnd w:id="104"/>
    <w:bookmarkEnd w:id="105"/>
    <w:bookmarkStart w:id="111" w:name="M5.2"/>
    <w:p>
      <w:pPr>
        <w:pStyle w:val="FirstParagraph"/>
      </w:pPr>
      <w:r>
        <w:t xml:space="preserve">M5 · Activity 2 · Mandatory Model M5.2</w:t>
      </w:r>
    </w:p>
    <w:bookmarkStart w:id="106" w:name="live-launch-iteration-report"/>
    <w:p>
      <w:pPr>
        <w:pStyle w:val="Heading1"/>
      </w:pPr>
      <w:r>
        <w:t xml:space="preserve">Live Launch &amp; Iteration Report</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2</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Awaiting real-world evidence</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106"/>
    <w:p>
      <w:pPr>
        <w:pStyle w:val="BodyText"/>
      </w:pPr>
      <w:r>
        <w:rPr>
          <w:bCs/>
          <w:b/>
        </w:rPr>
        <w:t xml:space="preserve">Incomplete.</w:t>
      </w:r>
      <w:r>
        <w:t xml:space="preserve"> </w:t>
      </w:r>
      <w:r>
        <w:t xml:space="preserve">AVERRA has not run a launch or pilot launch. Two people with tremor have tried TremoSense informally (founder-reported, no recorded metric). This sheet therefore holds the launch plan and the evidence template; it must not be presented as a completed launch.</w:t>
      </w:r>
    </w:p>
    <w:bookmarkStart w:id="107" w:name="pilot-launch-plan"/>
    <w:p>
      <w:pPr>
        <w:pStyle w:val="Heading2"/>
      </w:pPr>
      <w:r>
        <w:t xml:space="preserve">1. Pilot-launch plan</w:t>
      </w:r>
    </w:p>
    <w:tbl>
      <w:tblPr>
        <w:tblStyle w:val="Table"/>
        <w:tblW w:type="pct" w:w="5000"/>
        <w:tblLook w:firstRow="1" w:lastRow="0" w:firstColumn="0" w:lastColumn="0" w:noHBand="0" w:noVBand="0" w:val="0020"/>
        <w:jc w:val="start"/>
      </w:tblPr>
      <w:tblGrid>
        <w:gridCol w:w="1900"/>
        <w:gridCol w:w="6019"/>
      </w:tblGrid>
      <w:tr>
        <w:trPr>
          <w:tblHeader w:val="true"/>
        </w:trPr>
        <w:tc>
          <w:tcPr/>
          <w:p>
            <w:pPr>
              <w:pStyle w:val="Compact"/>
              <w:jc w:val="left"/>
            </w:pPr>
            <w:r>
              <w:t xml:space="preserve">Item</w:t>
            </w:r>
          </w:p>
        </w:tc>
        <w:tc>
          <w:tcPr/>
          <w:p>
            <w:pPr>
              <w:pStyle w:val="Compact"/>
              <w:jc w:val="left"/>
            </w:pPr>
            <w:r>
              <w:t xml:space="preserve">Plan</w:t>
            </w:r>
          </w:p>
        </w:tc>
      </w:tr>
      <w:tr>
        <w:tc>
          <w:tcPr/>
          <w:p>
            <w:pPr>
              <w:pStyle w:val="Compact"/>
              <w:jc w:val="left"/>
            </w:pPr>
            <w:r>
              <w:t xml:space="preserve">What</w:t>
            </w:r>
          </w:p>
        </w:tc>
        <w:tc>
          <w:tcPr/>
          <w:p>
            <w:pPr>
              <w:pStyle w:val="Compact"/>
              <w:jc w:val="left"/>
            </w:pPr>
            <w:r>
              <w:t xml:space="preserve">In-clinic TremoSense pilot using the 12 study units after ethics approval (M5–M6)</w:t>
            </w:r>
          </w:p>
        </w:tc>
      </w:tr>
      <w:tr>
        <w:tc>
          <w:tcPr/>
          <w:p>
            <w:pPr>
              <w:pStyle w:val="Compact"/>
              <w:jc w:val="left"/>
            </w:pPr>
            <w:r>
              <w:t xml:space="preserve">Who</w:t>
            </w:r>
          </w:p>
        </w:tc>
        <w:tc>
          <w:tcPr/>
          <w:p>
            <w:pPr>
              <w:pStyle w:val="Compact"/>
              <w:jc w:val="left"/>
            </w:pPr>
            <w:r>
              <w:t xml:space="preserve">≥10 adults with tremor and their caregivers, via 2–3 neurology/OT clinics</w:t>
            </w:r>
          </w:p>
        </w:tc>
      </w:tr>
      <w:tr>
        <w:tc>
          <w:tcPr/>
          <w:p>
            <w:pPr>
              <w:pStyle w:val="Compact"/>
              <w:jc w:val="left"/>
            </w:pPr>
            <w:r>
              <w:t xml:space="preserve">How long</w:t>
            </w:r>
          </w:p>
        </w:tc>
        <w:tc>
          <w:tcPr/>
          <w:p>
            <w:pPr>
              <w:pStyle w:val="Compact"/>
              <w:jc w:val="left"/>
            </w:pPr>
            <w:r>
              <w:t xml:space="preserve">4 weeks</w:t>
            </w:r>
          </w:p>
        </w:tc>
      </w:tr>
      <w:tr>
        <w:tc>
          <w:tcPr/>
          <w:p>
            <w:pPr>
              <w:pStyle w:val="Compact"/>
              <w:jc w:val="left"/>
            </w:pPr>
            <w:r>
              <w:t xml:space="preserve">Feedback channels</w:t>
            </w:r>
          </w:p>
        </w:tc>
        <w:tc>
          <w:tcPr/>
          <w:p>
            <w:pPr>
              <w:pStyle w:val="Compact"/>
              <w:jc w:val="left"/>
            </w:pPr>
            <w:r>
              <w:t xml:space="preserve">Session interview, 7-day WhatsApp check-in, short exit questionnaire</w:t>
            </w:r>
          </w:p>
        </w:tc>
      </w:tr>
      <w:tr>
        <w:tc>
          <w:tcPr/>
          <w:p>
            <w:pPr>
              <w:pStyle w:val="Compact"/>
              <w:jc w:val="left"/>
            </w:pPr>
            <w:r>
              <w:t xml:space="preserve">Decision rule</w:t>
            </w:r>
          </w:p>
        </w:tc>
        <w:tc>
          <w:tcPr/>
          <w:p>
            <w:pPr>
              <w:pStyle w:val="Compact"/>
              <w:jc w:val="left"/>
            </w:pPr>
            <w:r>
              <w:t xml:space="preserve">Same preregistered thresholds as M2.2</w:t>
            </w:r>
          </w:p>
        </w:tc>
      </w:tr>
    </w:tbl>
    <w:bookmarkEnd w:id="107"/>
    <w:bookmarkStart w:id="108" w:name="X2c89f2cd45a4c1a6e63d9c981003a7567edeeed"/>
    <w:p>
      <w:pPr>
        <w:pStyle w:val="Heading2"/>
      </w:pPr>
      <w:r>
        <w:t xml:space="preserve">2. Evidence template (complete with real feedback only)</w:t>
      </w:r>
    </w:p>
    <w:tbl>
      <w:tblPr>
        <w:tblStyle w:val="Table"/>
        <w:tblW w:type="pct" w:w="5000"/>
        <w:tblLook w:firstRow="1" w:lastRow="0" w:firstColumn="0" w:lastColumn="0" w:noHBand="0" w:noVBand="0" w:val="0020"/>
        <w:jc w:val="start"/>
      </w:tblPr>
      <w:tblGrid>
        <w:gridCol w:w="396"/>
        <w:gridCol w:w="950"/>
        <w:gridCol w:w="1425"/>
        <w:gridCol w:w="3564"/>
        <w:gridCol w:w="1584"/>
      </w:tblGrid>
      <w:tr>
        <w:trPr>
          <w:tblHeader w:val="true"/>
        </w:trPr>
        <w:tc>
          <w:tcPr/>
          <w:p>
            <w:pPr>
              <w:pStyle w:val="Compact"/>
              <w:jc w:val="left"/>
            </w:pPr>
            <w:r>
              <w:t xml:space="preserve">#</w:t>
            </w:r>
          </w:p>
        </w:tc>
        <w:tc>
          <w:tcPr/>
          <w:p>
            <w:pPr>
              <w:pStyle w:val="Compact"/>
              <w:jc w:val="left"/>
            </w:pPr>
            <w:r>
              <w:t xml:space="preserve">Date</w:t>
            </w:r>
          </w:p>
        </w:tc>
        <w:tc>
          <w:tcPr/>
          <w:p>
            <w:pPr>
              <w:pStyle w:val="Compact"/>
              <w:jc w:val="left"/>
            </w:pPr>
            <w:r>
              <w:t xml:space="preserve">User type</w:t>
            </w:r>
          </w:p>
        </w:tc>
        <w:tc>
          <w:tcPr/>
          <w:p>
            <w:pPr>
              <w:pStyle w:val="Compact"/>
              <w:jc w:val="left"/>
            </w:pPr>
            <w:r>
              <w:t xml:space="preserve">Exact feedback (verbatim)</w:t>
            </w:r>
          </w:p>
        </w:tc>
        <w:tc>
          <w:tcPr/>
          <w:p>
            <w:pPr>
              <w:pStyle w:val="Compact"/>
              <w:jc w:val="left"/>
            </w:pPr>
            <w:r>
              <w:t xml:space="preserve">Theme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2217"/>
        <w:gridCol w:w="1108"/>
        <w:gridCol w:w="2376"/>
        <w:gridCol w:w="2217"/>
      </w:tblGrid>
      <w:tr>
        <w:trPr>
          <w:tblHeader w:val="true"/>
        </w:trPr>
        <w:tc>
          <w:tcPr/>
          <w:p>
            <w:pPr>
              <w:pStyle w:val="Compact"/>
              <w:jc w:val="left"/>
            </w:pPr>
            <w:r>
              <w:t xml:space="preserve">Recurring theme</w:t>
            </w:r>
          </w:p>
        </w:tc>
        <w:tc>
          <w:tcPr/>
          <w:p>
            <w:pPr>
              <w:pStyle w:val="Compact"/>
              <w:jc w:val="left"/>
            </w:pPr>
            <w:r>
              <w:t xml:space="preserve">How many users</w:t>
            </w:r>
          </w:p>
        </w:tc>
        <w:tc>
          <w:tcPr/>
          <w:p>
            <w:pPr>
              <w:pStyle w:val="Compact"/>
              <w:jc w:val="left"/>
            </w:pPr>
            <w:r>
              <w:t xml:space="preserve">Change we made</w:t>
            </w:r>
          </w:p>
        </w:tc>
        <w:tc>
          <w:tcPr/>
          <w:p>
            <w:pPr>
              <w:pStyle w:val="Compact"/>
              <w:jc w:val="left"/>
            </w:pPr>
            <w:r>
              <w:t xml:space="preserve">What happened after</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bookmarkEnd w:id="108"/>
    <w:bookmarkStart w:id="109" w:name="crisis-and-contingency-plan"/>
    <w:p>
      <w:pPr>
        <w:pStyle w:val="Heading2"/>
      </w:pPr>
      <w:r>
        <w:t xml:space="preserve">3. Crisis and contingency plan</w:t>
      </w:r>
    </w:p>
    <w:tbl>
      <w:tblPr>
        <w:tblStyle w:val="Table"/>
        <w:tblW w:type="pct" w:w="5000"/>
        <w:tblLook w:firstRow="1" w:lastRow="0" w:firstColumn="0" w:lastColumn="0" w:noHBand="0" w:noVBand="0" w:val="0020"/>
        <w:jc w:val="start"/>
      </w:tblPr>
      <w:tblGrid>
        <w:gridCol w:w="2376"/>
        <w:gridCol w:w="1108"/>
        <w:gridCol w:w="1267"/>
        <w:gridCol w:w="3168"/>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Response</w:t>
            </w:r>
          </w:p>
        </w:tc>
      </w:tr>
      <w:tr>
        <w:tc>
          <w:tcPr/>
          <w:p>
            <w:pPr>
              <w:pStyle w:val="Compact"/>
              <w:jc w:val="left"/>
            </w:pPr>
            <w:r>
              <w:t xml:space="preserve">A servo or battery failure during a meal (spill, burn risk from food, or overheating)</w:t>
            </w:r>
          </w:p>
        </w:tc>
        <w:tc>
          <w:tcPr/>
          <w:p>
            <w:pPr>
              <w:pStyle w:val="Compact"/>
              <w:jc w:val="left"/>
            </w:pPr>
            <w:r>
              <w:t xml:space="preserve">Medium during the pilot</w:t>
            </w:r>
          </w:p>
        </w:tc>
        <w:tc>
          <w:tcPr/>
          <w:p>
            <w:pPr>
              <w:pStyle w:val="Compact"/>
              <w:jc w:val="left"/>
            </w:pPr>
            <w:r>
              <w:t xml:space="preserve">High (user safety, clinic trust)</w:t>
            </w:r>
          </w:p>
        </w:tc>
        <w:tc>
          <w:tcPr/>
          <w:p>
            <w:pPr>
              <w:pStyle w:val="Compact"/>
              <w:jc w:val="left"/>
            </w:pPr>
            <w:r>
              <w:t xml:space="preserve">Mechanical end-stops limit head travel; thermal cut-off in firmware; supervised first use; stop-use notice and replacement within 48 h; incident log reviewed with the clinic; pause the pilot if two incidents occur</w:t>
            </w:r>
          </w:p>
        </w:tc>
      </w:tr>
      <w:tr>
        <w:tc>
          <w:tcPr/>
          <w:p>
            <w:pPr>
              <w:pStyle w:val="Compact"/>
              <w:jc w:val="left"/>
            </w:pPr>
            <w:r>
              <w:t xml:space="preserve">Tranche 2 closes late</w:t>
            </w:r>
          </w:p>
        </w:tc>
        <w:tc>
          <w:tcPr/>
          <w:p>
            <w:pPr>
              <w:pStyle w:val="Compact"/>
              <w:jc w:val="left"/>
            </w:pPr>
            <w:r>
              <w:t xml:space="preserve">Medium</w:t>
            </w:r>
          </w:p>
        </w:tc>
        <w:tc>
          <w:tcPr/>
          <w:p>
            <w:pPr>
              <w:pStyle w:val="Compact"/>
              <w:jc w:val="left"/>
            </w:pPr>
            <w:r>
              <w:t xml:space="preserve">High (zero-cash M7)</w:t>
            </w:r>
          </w:p>
        </w:tc>
        <w:tc>
          <w:tcPr/>
          <w:p>
            <w:pPr>
              <w:pStyle w:val="Compact"/>
              <w:jc w:val="left"/>
            </w:pPr>
            <w:r>
              <w:t xml:space="preserve">Pause hiring, inventory and testing; defer stipends; buffer lasts to ≈M14</w:t>
            </w:r>
          </w:p>
        </w:tc>
      </w:tr>
    </w:tbl>
    <w:bookmarkEnd w:id="109"/>
    <w:bookmarkStart w:id="110" w:name="continue-kill-call"/>
    <w:p>
      <w:pPr>
        <w:pStyle w:val="Heading2"/>
      </w:pPr>
      <w:r>
        <w:t xml:space="preserve">4. Continue / kill call</w:t>
      </w:r>
    </w:p>
    <w:p>
      <w:pPr>
        <w:pStyle w:val="FirstParagraph"/>
      </w:pPr>
      <w:r>
        <w:rPr>
          <w:bCs/>
          <w:b/>
        </w:rPr>
        <w:t xml:space="preserve">Not yet decidable on market evidence.</w:t>
      </w:r>
      <w:r>
        <w:t xml:space="preserve"> </w:t>
      </w:r>
      <w:r>
        <w:t xml:space="preserve">Current call: continue to the preregistered pilot. Final call (after the pilot): ______________________</w:t>
      </w:r>
    </w:p>
    <w:bookmarkEnd w:id="110"/>
    <w:bookmarkEnd w:id="111"/>
    <w:bookmarkStart w:id="117" w:name="M5.3"/>
    <w:p>
      <w:pPr>
        <w:pStyle w:val="BodyText"/>
      </w:pPr>
      <w:r>
        <w:t xml:space="preserve">M5 · Activity 3 · Mandatory Model M5.3</w:t>
      </w:r>
    </w:p>
    <w:bookmarkStart w:id="112" w:name="full-venture-launch-fundraising-package"/>
    <w:p>
      <w:pPr>
        <w:pStyle w:val="Heading1"/>
      </w:pPr>
      <w:r>
        <w:t xml:space="preserve">Full Venture Launch &amp; Fundraising Package</w:t>
      </w:r>
    </w:p>
    <w:tbl>
      <w:tblPr>
        <w:tblStyle w:val="Table"/>
        <w:tblW w:type="auto" w:w="0"/>
        <w:tblLook w:firstRow="0" w:lastRow="0" w:firstColumn="0" w:lastColumn="0" w:noHBand="0" w:noVBand="0" w:val="0000"/>
        <w:jc w:val="start"/>
      </w:tblPr>
      <w:tblGrid>
        <w:gridCol w:w="1980"/>
        <w:gridCol w:w="1980"/>
        <w:gridCol w:w="1980"/>
        <w:gridCol w:w="1980"/>
      </w:tblGrid>
      <w:tr>
        <w:tc>
          <w:tcPr/>
          <w:p>
            <w:pPr>
              <w:pStyle w:val="Compact"/>
              <w:jc w:val="left"/>
            </w:pPr>
            <w:r>
              <w:rPr>
                <w:bCs/>
                <w:b/>
              </w:rPr>
              <w:t xml:space="preserve">Module</w:t>
            </w:r>
            <w:r>
              <w:t xml:space="preserve"> </w:t>
            </w:r>
            <w:r>
              <w:t xml:space="preserve">5</w:t>
            </w:r>
          </w:p>
        </w:tc>
        <w:tc>
          <w:tcPr/>
          <w:p>
            <w:pPr>
              <w:pStyle w:val="Compact"/>
              <w:jc w:val="left"/>
            </w:pPr>
            <w:r>
              <w:rPr>
                <w:bCs/>
                <w:b/>
              </w:rPr>
              <w:t xml:space="preserve">Activity</w:t>
            </w:r>
            <w:r>
              <w:t xml:space="preserve"> </w:t>
            </w:r>
            <w:r>
              <w:t xml:space="preserve">3</w:t>
            </w:r>
          </w:p>
        </w:tc>
        <w:tc>
          <w:tcPr/>
          <w:p>
            <w:pPr>
              <w:pStyle w:val="Compact"/>
              <w:jc w:val="left"/>
            </w:pPr>
            <w:r>
              <w:rPr>
                <w:bCs/>
                <w:b/>
              </w:rPr>
              <w:t xml:space="preserve">Date completed</w:t>
            </w:r>
            <w:r>
              <w:t xml:space="preserve"> </w:t>
            </w:r>
            <w:r>
              <w:t xml:space="preserve">____ / ____ / 2026</w:t>
            </w:r>
          </w:p>
        </w:tc>
        <w:tc>
          <w:tcPr/>
          <w:p>
            <w:pPr>
              <w:pStyle w:val="Compact"/>
              <w:jc w:val="left"/>
            </w:pPr>
            <w:r>
              <w:rPr>
                <w:bCs/>
                <w:b/>
              </w:rPr>
              <w:t xml:space="preserve">Venture</w:t>
            </w:r>
            <w:r>
              <w:t xml:space="preserve"> </w:t>
            </w:r>
            <w:r>
              <w:t xml:space="preserve">AVERRA</w:t>
            </w:r>
          </w:p>
        </w:tc>
      </w:tr>
      <w:tr>
        <w:tc>
          <w:tcPr>
            <w:gridSpan w:val="4"/>
          </w:tcPr>
          <w:p>
            <w:pPr>
              <w:pStyle w:val="Compact"/>
              <w:jc w:val="left"/>
            </w:pPr>
            <w:r>
              <w:rPr>
                <w:bCs/>
                <w:b/>
              </w:rPr>
              <w:t xml:space="preserve">Evidence status:</w:t>
            </w:r>
            <w:r>
              <w:t xml:space="preserve"> </w:t>
            </w:r>
            <w:r>
              <w:t xml:space="preserve">Partially completed</w:t>
            </w:r>
          </w:p>
        </w:tc>
      </w:tr>
      <w:tr>
        <w:tc>
          <w:tcPr>
            <w:gridSpan w:val="4"/>
          </w:tcPr>
          <w:p>
            <w:pPr>
              <w:pStyle w:val="Compact"/>
              <w:jc w:val="left"/>
            </w:pPr>
            <w:r>
              <w:t xml:space="preserve">AI assistance: AI (Claude) helped structure and draft this sheet from the founders' own pitch deck, financial model and repositories. The founders must verify every source, supply the real-world evidence marked pending, and approve all conclusions.</w:t>
            </w:r>
          </w:p>
        </w:tc>
      </w:tr>
    </w:tbl>
    <w:bookmarkEnd w:id="112"/>
    <w:bookmarkStart w:id="113" w:name="package-contents"/>
    <w:p>
      <w:pPr>
        <w:pStyle w:val="Heading2"/>
      </w:pPr>
      <w:r>
        <w:t xml:space="preserve">1. Package contents</w:t>
      </w:r>
    </w:p>
    <w:tbl>
      <w:tblPr>
        <w:tblStyle w:val="Table"/>
        <w:tblW w:type="pct" w:w="5000"/>
        <w:tblLook w:firstRow="1" w:lastRow="0" w:firstColumn="0" w:lastColumn="0" w:noHBand="0" w:noVBand="0" w:val="0020"/>
        <w:jc w:val="start"/>
      </w:tblPr>
      <w:tblGrid>
        <w:gridCol w:w="2692"/>
        <w:gridCol w:w="3484"/>
        <w:gridCol w:w="1742"/>
      </w:tblGrid>
      <w:tr>
        <w:trPr>
          <w:tblHeader w:val="true"/>
        </w:trPr>
        <w:tc>
          <w:tcPr/>
          <w:p>
            <w:pPr>
              <w:pStyle w:val="Compact"/>
              <w:jc w:val="left"/>
            </w:pPr>
            <w:r>
              <w:t xml:space="preserve">Component</w:t>
            </w:r>
          </w:p>
        </w:tc>
        <w:tc>
          <w:tcPr/>
          <w:p>
            <w:pPr>
              <w:pStyle w:val="Compact"/>
              <w:jc w:val="left"/>
            </w:pPr>
            <w:r>
              <w:t xml:space="preserve">Where</w:t>
            </w:r>
          </w:p>
        </w:tc>
        <w:tc>
          <w:tcPr/>
          <w:p>
            <w:pPr>
              <w:pStyle w:val="Compact"/>
              <w:jc w:val="left"/>
            </w:pPr>
            <w:r>
              <w:t xml:space="preserve">Status</w:t>
            </w:r>
          </w:p>
        </w:tc>
      </w:tr>
      <w:tr>
        <w:tc>
          <w:tcPr/>
          <w:p>
            <w:pPr>
              <w:pStyle w:val="Compact"/>
              <w:jc w:val="left"/>
            </w:pPr>
            <w:r>
              <w:t xml:space="preserve">Pitch deck (17 slides)</w:t>
            </w:r>
          </w:p>
        </w:tc>
        <w:tc>
          <w:tcPr/>
          <w:p>
            <w:pPr>
              <w:pStyle w:val="Compact"/>
              <w:jc w:val="left"/>
            </w:pPr>
            <w:r>
              <w:t xml:space="preserve">deck/AVERRA_Pitch.pptx and averraproject.vercel.app</w:t>
            </w:r>
          </w:p>
        </w:tc>
        <w:tc>
          <w:tcPr/>
          <w:p>
            <w:pPr>
              <w:pStyle w:val="Compact"/>
              <w:jc w:val="left"/>
            </w:pPr>
            <w:r>
              <w:t xml:space="preserve">Done</w:t>
            </w:r>
          </w:p>
        </w:tc>
      </w:tr>
      <w:tr>
        <w:tc>
          <w:tcPr/>
          <w:p>
            <w:pPr>
              <w:pStyle w:val="Compact"/>
              <w:jc w:val="left"/>
            </w:pPr>
            <w:r>
              <w:t xml:space="preserve">Financial model</w:t>
            </w:r>
          </w:p>
        </w:tc>
        <w:tc>
          <w:tcPr/>
          <w:p>
            <w:pPr>
              <w:pStyle w:val="Compact"/>
              <w:jc w:val="left"/>
            </w:pPr>
            <w:r>
              <w:t xml:space="preserve">model/AVERRA_Financial_Model.xlsx</w:t>
            </w:r>
          </w:p>
        </w:tc>
        <w:tc>
          <w:tcPr/>
          <w:p>
            <w:pPr>
              <w:pStyle w:val="Compact"/>
              <w:jc w:val="left"/>
            </w:pPr>
            <w:r>
              <w:t xml:space="preserve">Done (forecast, not actuals)</w:t>
            </w:r>
          </w:p>
        </w:tc>
      </w:tr>
      <w:tr>
        <w:tc>
          <w:tcPr/>
          <w:p>
            <w:pPr>
              <w:pStyle w:val="Compact"/>
              <w:jc w:val="left"/>
            </w:pPr>
            <w:r>
              <w:t xml:space="preserve">Cap table and fundraising model</w:t>
            </w:r>
          </w:p>
        </w:tc>
        <w:tc>
          <w:tcPr/>
          <w:p>
            <w:pPr>
              <w:pStyle w:val="Compact"/>
              <w:jc w:val="left"/>
            </w:pPr>
            <w:r>
              <w:t xml:space="preserve">M4.3; Funding Scenarios sheet</w:t>
            </w:r>
          </w:p>
        </w:tc>
        <w:tc>
          <w:tcPr/>
          <w:p>
            <w:pPr>
              <w:pStyle w:val="Compact"/>
              <w:jc w:val="left"/>
            </w:pPr>
            <w:r>
              <w:t xml:space="preserve">Done</w:t>
            </w:r>
          </w:p>
        </w:tc>
      </w:tr>
      <w:tr>
        <w:tc>
          <w:tcPr/>
          <w:p>
            <w:pPr>
              <w:pStyle w:val="Compact"/>
              <w:jc w:val="left"/>
            </w:pPr>
            <w:r>
              <w:t xml:space="preserve">Customer evidence</w:t>
            </w:r>
          </w:p>
        </w:tc>
        <w:tc>
          <w:tcPr/>
          <w:p>
            <w:pPr>
              <w:pStyle w:val="Compact"/>
              <w:jc w:val="left"/>
            </w:pPr>
            <w:r>
              <w:t xml:space="preserve">M1.1</w:t>
            </w:r>
          </w:p>
        </w:tc>
        <w:tc>
          <w:tcPr/>
          <w:p>
            <w:pPr>
              <w:pStyle w:val="Compact"/>
              <w:jc w:val="left"/>
            </w:pPr>
            <w:r>
              <w:t xml:space="preserve">Pending (own interviews)</w:t>
            </w:r>
          </w:p>
        </w:tc>
      </w:tr>
      <w:tr>
        <w:tc>
          <w:tcPr/>
          <w:p>
            <w:pPr>
              <w:pStyle w:val="Compact"/>
              <w:jc w:val="left"/>
            </w:pPr>
            <w:r>
              <w:t xml:space="preserve">MVP validation</w:t>
            </w:r>
          </w:p>
        </w:tc>
        <w:tc>
          <w:tcPr/>
          <w:p>
            <w:pPr>
              <w:pStyle w:val="Compact"/>
              <w:jc w:val="left"/>
            </w:pPr>
            <w:r>
              <w:t xml:space="preserve">M2.2</w:t>
            </w:r>
          </w:p>
        </w:tc>
        <w:tc>
          <w:tcPr/>
          <w:p>
            <w:pPr>
              <w:pStyle w:val="Compact"/>
              <w:jc w:val="left"/>
            </w:pPr>
            <w:r>
              <w:t xml:space="preserve">Planned (bench evidence only)</w:t>
            </w:r>
          </w:p>
        </w:tc>
      </w:tr>
      <w:tr>
        <w:tc>
          <w:tcPr/>
          <w:p>
            <w:pPr>
              <w:pStyle w:val="Compact"/>
              <w:jc w:val="left"/>
            </w:pPr>
            <w:r>
              <w:t xml:space="preserve">Launch evidence</w:t>
            </w:r>
          </w:p>
        </w:tc>
        <w:tc>
          <w:tcPr/>
          <w:p>
            <w:pPr>
              <w:pStyle w:val="Compact"/>
              <w:jc w:val="left"/>
            </w:pPr>
            <w:r>
              <w:t xml:space="preserve">M5.2</w:t>
            </w:r>
          </w:p>
        </w:tc>
        <w:tc>
          <w:tcPr/>
          <w:p>
            <w:pPr>
              <w:pStyle w:val="Compact"/>
              <w:jc w:val="left"/>
            </w:pPr>
            <w:r>
              <w:t xml:space="preserve">Pending</w:t>
            </w:r>
          </w:p>
        </w:tc>
      </w:tr>
    </w:tbl>
    <w:bookmarkEnd w:id="113"/>
    <w:bookmarkStart w:id="114" w:name="X5e28e79d523bba2a83e2b54b386aa4650ed6fc3"/>
    <w:p>
      <w:pPr>
        <w:pStyle w:val="Heading2"/>
      </w:pPr>
      <w:r>
        <w:t xml:space="preserve">2. Why this could fail (single biggest, specific risk)</w:t>
      </w:r>
    </w:p>
    <w:p>
      <w:pPr>
        <w:pStyle w:val="FirstParagraph"/>
      </w:pPr>
      <w:r>
        <w:rPr>
          <w:bCs/>
          <w:b/>
        </w:rPr>
        <w:t xml:space="preserve">Bench rejection may not turn into easier eating. Real food, real spoons and tired hands are harder than a motorised simulator.</w:t>
      </w:r>
    </w:p>
    <w:p>
      <w:pPr>
        <w:pStyle w:val="BodyText"/>
      </w:pPr>
      <w:r>
        <w:rPr>
          <w:bCs/>
          <w:b/>
        </w:rPr>
        <w:t xml:space="preserve">Stop or change direction if:</w:t>
      </w:r>
      <w:r>
        <w:t xml:space="preserve"> </w:t>
      </w:r>
      <w:r>
        <w:t xml:space="preserve">the M6 study (n ≥ 10) shows median tremor reduction below 30% → stop TremoSense and focus on ParkinSense; 30–50% → one redesign and re-test; it works but fewer than 60% would pay → pivot to clinic rental at ₹799/month; tranche 2 does not close by M7 → pause spending and extend to ≈M14 on the buffer.</w:t>
      </w:r>
    </w:p>
    <w:bookmarkEnd w:id="114"/>
    <w:bookmarkStart w:id="115" w:name="investment-memo"/>
    <w:p>
      <w:pPr>
        <w:pStyle w:val="Heading2"/>
      </w:pPr>
      <w:r>
        <w:t xml:space="preserve">3. Investment memo</w:t>
      </w:r>
    </w:p>
    <w:p>
      <w:pPr>
        <w:pStyle w:val="FirstParagraph"/>
      </w:pPr>
      <w:r>
        <w:rPr>
          <w:bCs/>
          <w:b/>
        </w:rPr>
        <w:t xml:space="preserve">Company.</w:t>
      </w:r>
      <w:r>
        <w:t xml:space="preserve"> </w:t>
      </w:r>
      <w:r>
        <w:t xml:space="preserve">AVERRA, biomedical technology. “Engineering better movement intelligence.” Founders: Pranshu Kumar and Pawan Shinde (both hardware and test engineers).</w:t>
      </w:r>
    </w:p>
    <w:p>
      <w:pPr>
        <w:pStyle w:val="BodyText"/>
      </w:pPr>
      <w:r>
        <w:rPr>
          <w:bCs/>
          <w:b/>
        </w:rPr>
        <w:t xml:space="preserve">Problem.</w:t>
      </w:r>
      <w:r>
        <w:t xml:space="preserve"> </w:t>
      </w:r>
      <w:r>
        <w:t xml:space="preserve">About 4.6 lakh Indians aged 60+ live with Parkinson's and ≈12.8 lakh have essential tremor (single-study estimate). Movement is measured only in short clinic visits, and tremor makes eating hard and embarrassing (published studies; own interviews pending).</w:t>
      </w:r>
    </w:p>
    <w:p>
      <w:pPr>
        <w:pStyle w:val="BodyText"/>
      </w:pPr>
      <w:r>
        <w:rPr>
          <w:bCs/>
          <w:b/>
        </w:rPr>
        <w:t xml:space="preserve">Products and status.</w:t>
      </w:r>
      <w:r>
        <w:t xml:space="preserve"> </w:t>
      </w:r>
      <w:r>
        <w:t xml:space="preserve">TremoSense, an active stabilising spoon: ≈90% tremor rejection on a bench simulator (founder-reported; logs to be published); 2 informal user trials. ParkinSense, a ₹7,999 screenless wellness band with tremor detection: steps, tremor and rest-vs-movement bench-tested; heart metrics need validation; clinical evaluation with ICMR in progress, results pending. No diagnostic claims.</w:t>
      </w:r>
    </w:p>
    <w:p>
      <w:pPr>
        <w:pStyle w:val="BodyText"/>
      </w:pPr>
      <w:r>
        <w:rPr>
          <w:bCs/>
          <w:b/>
        </w:rPr>
        <w:t xml:space="preserve">Market.</w:t>
      </w:r>
      <w:r>
        <w:t xml:space="preserve"> </w:t>
      </w:r>
      <w:r>
        <w:t xml:space="preserve">Bottom-up TAM ₹416.9 Cr, SAM ₹51.9 Cr, Year-3 SOM ₹109.0 L; general-wearable upside shown separately.</w:t>
      </w:r>
    </w:p>
    <w:p>
      <w:pPr>
        <w:pStyle w:val="BodyText"/>
      </w:pPr>
      <w:r>
        <w:rPr>
          <w:bCs/>
          <w:b/>
        </w:rPr>
        <w:t xml:space="preserve">Business model and unit economics.</w:t>
      </w:r>
      <w:r>
        <w:t xml:space="preserve"> </w:t>
      </w:r>
      <w:r>
        <w:t xml:space="preserve">Clinic-referred device sales and rental; ParkinSense online with an optional plan; RUO kits for labs. TremoSense contribution ₹2,538 (31.4%) at ₹9,999; LTV:CAC 3.3×; CAC paid back on the first sale.</w:t>
      </w:r>
    </w:p>
    <w:p>
      <w:pPr>
        <w:pStyle w:val="BodyText"/>
      </w:pPr>
      <w:r>
        <w:rPr>
          <w:bCs/>
          <w:b/>
        </w:rPr>
        <w:t xml:space="preserve">Financials (forecast).</w:t>
      </w:r>
      <w:r>
        <w:t xml:space="preserve"> </w:t>
      </w:r>
      <w:r>
        <w:t xml:space="preserve">Year-1 costs ₹31.57 L; break-even M23 · May-29; Year-3 operating profit ₹18.93 L on ₹2.12 Cr cash in; total to break-even ₹48.22 L.</w:t>
      </w:r>
    </w:p>
    <w:p>
      <w:pPr>
        <w:pStyle w:val="BodyText"/>
      </w:pPr>
      <w:r>
        <w:rPr>
          <w:bCs/>
          <w:b/>
        </w:rPr>
        <w:t xml:space="preserve">The ask.</w:t>
      </w:r>
      <w:r>
        <w:t xml:space="preserve"> </w:t>
      </w:r>
      <w:r>
        <w:t xml:space="preserve">₹10,51,171 at a proposed ₹75,00,000 pre-money (negotiation target; cost-to-duplicate floor ₹44.75 L, Berkus cross-check ₹60 L) = 12.29% to the investor; founders 82.71% after a 5% ESOP pool. Funds Milestone 1: the preregistered user study by M6. Tranche 2 ₹37.71 L by M7. Startup India grant applied for, not secured.</w:t>
      </w:r>
    </w:p>
    <w:p>
      <w:pPr>
        <w:pStyle w:val="BodyText"/>
      </w:pPr>
      <w:r>
        <w:rPr>
          <w:bCs/>
          <w:b/>
        </w:rPr>
        <w:t xml:space="preserve">Key risk and kill rule.</w:t>
      </w:r>
      <w:r>
        <w:t xml:space="preserve"> </w:t>
      </w:r>
      <w:r>
        <w:t xml:space="preserve">Bench results may not transfer to real meals; stop TremoSense below 30% median reduction.</w:t>
      </w:r>
    </w:p>
    <w:bookmarkEnd w:id="115"/>
    <w:bookmarkStart w:id="116" w:name="Xc0907aca1d4a3a0ba0f3ea4f71a133283e8c442"/>
    <w:p>
      <w:pPr>
        <w:pStyle w:val="Heading2"/>
      </w:pPr>
      <w:r>
        <w:t xml:space="preserve">4. Personal entrepreneurial thesis (each founder writes their own; not drafted for you)</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Question</w:t>
            </w:r>
          </w:p>
        </w:tc>
        <w:tc>
          <w:tcPr/>
          <w:p>
            <w:pPr>
              <w:pStyle w:val="Compact"/>
              <w:jc w:val="left"/>
            </w:pPr>
            <w:r>
              <w:t xml:space="preserve">Your answer, with evidence from your own semester work</w:t>
            </w:r>
          </w:p>
        </w:tc>
      </w:tr>
      <w:tr>
        <w:tc>
          <w:tcPr/>
          <w:p>
            <w:pPr>
              <w:pStyle w:val="Compact"/>
              <w:jc w:val="left"/>
            </w:pPr>
            <w:r>
              <w:t xml:space="preserve">Would you START, OPERATE, FUND or JOIN a venture? Pick one.</w:t>
            </w:r>
          </w:p>
        </w:tc>
        <w:tc>
          <w:tcPr/>
          <w:p>
            <w:pPr>
              <w:pStyle w:val="Compact"/>
            </w:pPr>
          </w:p>
        </w:tc>
      </w:tr>
      <w:tr>
        <w:tc>
          <w:tcPr/>
          <w:p>
            <w:pPr>
              <w:pStyle w:val="Compact"/>
              <w:jc w:val="left"/>
            </w:pPr>
            <w:r>
              <w:t xml:space="preserve">What evidence from your M1–M5 work supports that choice? (name the activity and the number or quote)</w:t>
            </w:r>
          </w:p>
        </w:tc>
        <w:tc>
          <w:tcPr/>
          <w:p>
            <w:pPr>
              <w:pStyle w:val="Compact"/>
            </w:pPr>
          </w:p>
        </w:tc>
      </w:tr>
      <w:tr>
        <w:tc>
          <w:tcPr/>
          <w:p>
            <w:pPr>
              <w:pStyle w:val="Compact"/>
              <w:jc w:val="left"/>
            </w:pPr>
            <w:r>
              <w:t xml:space="preserve">What did the customer-discovery and validation work change in your thinking?</w:t>
            </w:r>
          </w:p>
        </w:tc>
        <w:tc>
          <w:tcPr/>
          <w:p>
            <w:pPr>
              <w:pStyle w:val="Compact"/>
            </w:pPr>
          </w:p>
        </w:tc>
      </w:tr>
      <w:tr>
        <w:tc>
          <w:tcPr/>
          <w:p>
            <w:pPr>
              <w:pStyle w:val="Compact"/>
              <w:jc w:val="left"/>
            </w:pPr>
            <w:r>
              <w:t xml:space="preserve">What would make you change this answer?</w:t>
            </w:r>
          </w:p>
        </w:tc>
        <w:tc>
          <w:tcPr/>
          <w:p>
            <w:pPr>
              <w:pStyle w:val="Compact"/>
            </w:pPr>
          </w:p>
        </w:tc>
      </w:tr>
    </w:tbl>
    <w:bookmarkEnd w:id="116"/>
    <w:bookmarkEnd w:id="117"/>
    <w:bookmarkStart w:id="119" w:name="REF"/>
    <w:bookmarkStart w:id="118" w:name="references"/>
    <w:p>
      <w:pPr>
        <w:pStyle w:val="Heading1"/>
      </w:pPr>
      <w:r>
        <w:t xml:space="preserve">References</w:t>
      </w:r>
    </w:p>
    <w:p>
      <w:pPr>
        <w:pStyle w:val="FirstParagraph"/>
      </w:pPr>
      <w:r>
        <w:t xml:space="preserve">Prices and figures were checked on the dates stated in each label (most competitor prices on 16 Oct 2026; FX on 12 Oct 2026). Accessed for this portfolio: 16 Oct 2026. Founders should re-open every link before submission.</w:t>
      </w:r>
    </w:p>
    <w:p>
      <w:pPr>
        <w:numPr>
          <w:ilvl w:val="0"/>
          <w:numId w:val="1009"/>
        </w:numPr>
        <w:pStyle w:val="Compact"/>
      </w:pPr>
      <w:r>
        <w:t xml:space="preserve">UNFPA India Ageing Report 2023 (149M aged 60+, 10.5%; 347M by 2050)</w:t>
      </w:r>
      <w:r>
        <w:br/>
      </w:r>
      <w:r>
        <w:t xml:space="preserve">https://www.thenationalnews.com/world/asia/2023/09/28/india-un-elderly-population/</w:t>
      </w:r>
    </w:p>
    <w:p>
      <w:pPr>
        <w:numPr>
          <w:ilvl w:val="0"/>
          <w:numId w:val="1009"/>
        </w:numPr>
        <w:pStyle w:val="Compact"/>
      </w:pPr>
      <w:r>
        <w:t xml:space="preserve">Khurana &amp; Gourie-Devi, Cureus 2025;17(3):e80248 — Indian PD community studies</w:t>
      </w:r>
      <w:r>
        <w:br/>
      </w:r>
      <w:r>
        <w:t xml:space="preserve">https://pmc.ncbi.nlm.nih.gov/articles/PMC11890171</w:t>
      </w:r>
    </w:p>
    <w:p>
      <w:pPr>
        <w:numPr>
          <w:ilvl w:val="0"/>
          <w:numId w:val="1009"/>
        </w:numPr>
        <w:pStyle w:val="Compact"/>
      </w:pPr>
      <w:r>
        <w:t xml:space="preserve">Chin et al., Mov Disord 2021 — ET in rural Gujarat</w:t>
      </w:r>
      <w:r>
        <w:br/>
      </w:r>
      <w:r>
        <w:t xml:space="preserve">https://www.mdsabstracts.org/abstract/prevalence-of-essential-tremors-in-rural-gujarat-india/</w:t>
      </w:r>
    </w:p>
    <w:p>
      <w:pPr>
        <w:numPr>
          <w:ilvl w:val="0"/>
          <w:numId w:val="1009"/>
        </w:numPr>
        <w:pStyle w:val="Compact"/>
      </w:pPr>
      <w:r>
        <w:t xml:space="preserve">BMJ 2025 — PD prevalence 25.2M by 2050</w:t>
      </w:r>
      <w:r>
        <w:br/>
      </w:r>
      <w:r>
        <w:t xml:space="preserve">https://bmjgroup.com/cases-of-parkinsons-disease-set-to-reach-25-million-worldwide-by-2050</w:t>
      </w:r>
    </w:p>
    <w:p>
      <w:pPr>
        <w:numPr>
          <w:ilvl w:val="0"/>
          <w:numId w:val="1009"/>
        </w:numPr>
        <w:pStyle w:val="Compact"/>
      </w:pPr>
      <w:r>
        <w:t xml:space="preserve">Michael J. Fox Foundation — Liftware $195 (Nov 2015)</w:t>
      </w:r>
      <w:r>
        <w:br/>
      </w:r>
      <w:r>
        <w:t xml:space="preserve">https://www.michaeljfox.org/news/stabilizing-spoon-announces-price-reduction-and-match-program-holidays</w:t>
      </w:r>
    </w:p>
    <w:p>
      <w:pPr>
        <w:numPr>
          <w:ilvl w:val="0"/>
          <w:numId w:val="1009"/>
        </w:numPr>
        <w:pStyle w:val="Compact"/>
      </w:pPr>
      <w:r>
        <w:t xml:space="preserve">Seeed Studio — XIAO nRF52840 Sense $15.90 / $13.90 (10+)</w:t>
      </w:r>
      <w:r>
        <w:br/>
      </w:r>
      <w:r>
        <w:t xml:space="preserve">https://www.seeedstudio.com/Seeed-XIAO-BLE-Sense-nRF52840-p-5253.html</w:t>
      </w:r>
    </w:p>
    <w:p>
      <w:pPr>
        <w:numPr>
          <w:ilvl w:val="0"/>
          <w:numId w:val="1009"/>
        </w:numPr>
        <w:pStyle w:val="Compact"/>
      </w:pPr>
      <w:r>
        <w:t xml:space="preserve">The Pi Hut — TowerPro MG92B £8</w:t>
      </w:r>
      <w:r>
        <w:br/>
      </w:r>
      <w:r>
        <w:t xml:space="preserve">https://thepihut.com/products/towerpro-servo-motor-mg92b-metal-gear</w:t>
      </w:r>
    </w:p>
    <w:p>
      <w:pPr>
        <w:numPr>
          <w:ilvl w:val="0"/>
          <w:numId w:val="1009"/>
        </w:numPr>
        <w:pStyle w:val="Compact"/>
      </w:pPr>
      <w:r>
        <w:t xml:space="preserve">Startup India Seed Fund Scheme — ₹20 L PoC grant (ClearTax)</w:t>
      </w:r>
      <w:r>
        <w:br/>
      </w:r>
      <w:r>
        <w:t xml:space="preserve">https://cleartax.in/s/startup-india-seed-fund-scheme</w:t>
      </w:r>
    </w:p>
    <w:p>
      <w:pPr>
        <w:numPr>
          <w:ilvl w:val="0"/>
          <w:numId w:val="1009"/>
        </w:numPr>
        <w:pStyle w:val="Compact"/>
      </w:pPr>
      <w:r>
        <w:t xml:space="preserve">BIRAC Biotechnology Ignition Grant — up to ₹50 L</w:t>
      </w:r>
      <w:r>
        <w:br/>
      </w:r>
      <w:r>
        <w:t xml:space="preserve">https://www.indiascienceandtechnology.gov.in/funding-opportunities/startups/biotechnology-ignition-grant-scheme-big</w:t>
      </w:r>
    </w:p>
    <w:p>
      <w:pPr>
        <w:numPr>
          <w:ilvl w:val="0"/>
          <w:numId w:val="1009"/>
        </w:numPr>
        <w:pStyle w:val="Compact"/>
      </w:pPr>
      <w:r>
        <w:t xml:space="preserve">CDSCO Class A notification (20 Sep 2022)</w:t>
      </w:r>
      <w:r>
        <w:br/>
      </w:r>
      <w:r>
        <w:t xml:space="preserve">https://operonstrategist.com/cdsco-notification-for-class-a-medical-devices/</w:t>
      </w:r>
    </w:p>
    <w:p>
      <w:pPr>
        <w:numPr>
          <w:ilvl w:val="0"/>
          <w:numId w:val="1009"/>
        </w:numPr>
        <w:pStyle w:val="Compact"/>
      </w:pPr>
      <w:r>
        <w:t xml:space="preserve">Medical-device licensing mandatory from 1 Oct 2023</w:t>
      </w:r>
      <w:r>
        <w:br/>
      </w:r>
      <w:r>
        <w:t xml:space="preserve">https://www.digitalhealthnews.com/cdsco-extends-deadline-for-class-c-d-medical-devices-cos-by-3-months</w:t>
      </w:r>
    </w:p>
    <w:p>
      <w:pPr>
        <w:numPr>
          <w:ilvl w:val="0"/>
          <w:numId w:val="1009"/>
        </w:numPr>
        <w:pStyle w:val="Compact"/>
      </w:pPr>
      <w:r>
        <w:t xml:space="preserve">Apple ResearchKit Movement Disorder API (6 Jun 2018)</w:t>
      </w:r>
      <w:r>
        <w:br/>
      </w:r>
      <w:r>
        <w:t xml:space="preserve">https://www.engadget.com/2018-06-06-apple-watch-monitor-parkinsons-symptoms.html</w:t>
      </w:r>
    </w:p>
    <w:p>
      <w:pPr>
        <w:numPr>
          <w:ilvl w:val="0"/>
          <w:numId w:val="1009"/>
        </w:numPr>
        <w:pStyle w:val="Compact"/>
      </w:pPr>
      <w:r>
        <w:t xml:space="preserve">Rune Labs FDA clearance (Jun 2022)</w:t>
      </w:r>
      <w:r>
        <w:br/>
      </w:r>
      <w:r>
        <w:t xml:space="preserve">https://9to5mac.com/2022/06/13/apple-watch-parkinsons/</w:t>
      </w:r>
    </w:p>
    <w:p>
      <w:pPr>
        <w:numPr>
          <w:ilvl w:val="0"/>
          <w:numId w:val="1009"/>
        </w:numPr>
        <w:pStyle w:val="Compact"/>
      </w:pPr>
      <w:r>
        <w:t xml:space="preserve">USD/INR 95.71 (12 Oct 2026)</w:t>
      </w:r>
      <w:r>
        <w:br/>
      </w:r>
      <w:r>
        <w:t xml:space="preserve">https://tradersunion.com/currencies/price/usd-inr/</w:t>
      </w:r>
    </w:p>
    <w:p>
      <w:pPr>
        <w:numPr>
          <w:ilvl w:val="0"/>
          <w:numId w:val="1009"/>
        </w:numPr>
        <w:pStyle w:val="Compact"/>
      </w:pPr>
      <w:r>
        <w:t xml:space="preserve">WHOOP India memberships: One ₹20,890, Peak ₹27,539 (checked 16 Oct 2026)</w:t>
      </w:r>
      <w:r>
        <w:br/>
      </w:r>
      <w:r>
        <w:t xml:space="preserve">https://www.whoop.in/pages/whoop-devices</w:t>
      </w:r>
    </w:p>
    <w:p>
      <w:pPr>
        <w:numPr>
          <w:ilvl w:val="0"/>
          <w:numId w:val="1009"/>
        </w:numPr>
        <w:pStyle w:val="Compact"/>
      </w:pPr>
      <w:r>
        <w:t xml:space="preserve">Garmin Cirqa India launch, ₹25,990 (Business Today, 7 Oct 2026)</w:t>
      </w:r>
      <w:r>
        <w:br/>
      </w:r>
      <w:r>
        <w:t xml:space="preserve">https://www.businesstoday.in/technology/news/story/garmin-cirqa-launched-in-india-at-rs25990-this-screen-free-smart-band-can-track-80-activities-560058-2026-10-07</w:t>
      </w:r>
    </w:p>
    <w:p>
      <w:pPr>
        <w:numPr>
          <w:ilvl w:val="0"/>
          <w:numId w:val="1009"/>
        </w:numPr>
        <w:pStyle w:val="Compact"/>
      </w:pPr>
      <w:r>
        <w:t xml:space="preserve">Amazfit Helio Strap India: official ₹8,999 (MRP ₹17,999), sold out; sellers ₹12,000–15,000 (16 Oct 2026)</w:t>
      </w:r>
      <w:r>
        <w:br/>
      </w:r>
      <w:r>
        <w:t xml:space="preserve">https://in.amazfit.com/products/helio-strap</w:t>
      </w:r>
    </w:p>
    <w:p>
      <w:pPr>
        <w:numPr>
          <w:ilvl w:val="0"/>
          <w:numId w:val="1009"/>
        </w:numPr>
        <w:pStyle w:val="Compact"/>
      </w:pPr>
      <w:r>
        <w:t xml:space="preserve">Google Fitbit Air India launch, ₹13,999 (Free Press Journal)</w:t>
      </w:r>
      <w:r>
        <w:br/>
      </w:r>
      <w:r>
        <w:t xml:space="preserve">https://www.freepressjournal.in/tech/google-fitbit-air-launched-in-india-at-13999-price-specifications</w:t>
      </w:r>
    </w:p>
    <w:p>
      <w:pPr>
        <w:numPr>
          <w:ilvl w:val="0"/>
          <w:numId w:val="1009"/>
        </w:numPr>
        <w:pStyle w:val="Compact"/>
      </w:pPr>
      <w:r>
        <w:t xml:space="preserve">Imported active tremor spoons on desertcart.in: ₹35,980, ₹58,480, ₹1,40,386 (Google Shopping, checked 16 Oct 2026)</w:t>
      </w:r>
      <w:r>
        <w:br/>
      </w:r>
      <w:r>
        <w:t xml:space="preserve">https://www.desertcart.in/</w:t>
      </w:r>
    </w:p>
    <w:p>
      <w:pPr>
        <w:numPr>
          <w:ilvl w:val="0"/>
          <w:numId w:val="1009"/>
        </w:numPr>
        <w:pStyle w:val="Compact"/>
      </w:pPr>
      <w:r>
        <w:t xml:space="preserve">GyroGlove listing, Parkinson's UK tech guide (16 Jun 2026)</w:t>
      </w:r>
      <w:r>
        <w:br/>
      </w:r>
      <w:r>
        <w:t xml:space="preserve">https://techguide.parkinsons.org.uk/catalogue/gyro-glove</w:t>
      </w:r>
    </w:p>
    <w:p>
      <w:pPr>
        <w:numPr>
          <w:ilvl w:val="0"/>
          <w:numId w:val="1009"/>
        </w:numPr>
        <w:pStyle w:val="Compact"/>
      </w:pPr>
      <w:r>
        <w:t xml:space="preserve">Liftware product range and cited study</w:t>
      </w:r>
      <w:r>
        <w:br/>
      </w:r>
      <w:r>
        <w:t xml:space="preserve">https://www.liftware.com/</w:t>
      </w:r>
    </w:p>
    <w:p>
      <w:pPr>
        <w:numPr>
          <w:ilvl w:val="0"/>
          <w:numId w:val="1009"/>
        </w:numPr>
        <w:pStyle w:val="Compact"/>
      </w:pPr>
      <w:r>
        <w:t xml:space="preserve">Weighted soup spoon (WellBefore)</w:t>
      </w:r>
      <w:r>
        <w:br/>
      </w:r>
      <w:r>
        <w:t xml:space="preserve">https://wellbefore.com/products/weighted-soup-spoon</w:t>
      </w:r>
    </w:p>
    <w:p>
      <w:pPr>
        <w:numPr>
          <w:ilvl w:val="0"/>
          <w:numId w:val="1009"/>
        </w:numPr>
        <w:pStyle w:val="Compact"/>
      </w:pPr>
      <w:r>
        <w:t xml:space="preserve">TremoSense repository</w:t>
      </w:r>
      <w:r>
        <w:br/>
      </w:r>
      <w:r>
        <w:t xml:space="preserve">https://github.com/rkt-1597/TremoSense-Project</w:t>
      </w:r>
    </w:p>
    <w:p>
      <w:pPr>
        <w:numPr>
          <w:ilvl w:val="0"/>
          <w:numId w:val="1009"/>
        </w:numPr>
        <w:pStyle w:val="Compact"/>
      </w:pPr>
      <w:r>
        <w:t xml:space="preserve">ParkinSense repository (develop)</w:t>
      </w:r>
      <w:r>
        <w:br/>
      </w:r>
      <w:r>
        <w:t xml:space="preserve">https://github.com/sudo-pranshu/ParkinSense</w:t>
      </w:r>
    </w:p>
    <w:p>
      <w:pPr>
        <w:numPr>
          <w:ilvl w:val="0"/>
          <w:numId w:val="1009"/>
        </w:numPr>
        <w:pStyle w:val="Compact"/>
      </w:pPr>
      <w:r>
        <w:t xml:space="preserve">Hadley, Riley &amp; Heldman, Digital Biomarkers 2021</w:t>
      </w:r>
      <w:r>
        <w:br/>
      </w:r>
      <w:r>
        <w:t xml:space="preserve">https://karger.com/dib/article/5/3/206/823097/Real-World-Evidence-for-a-Smartwatch-Based</w:t>
      </w:r>
    </w:p>
    <w:p>
      <w:pPr>
        <w:numPr>
          <w:ilvl w:val="0"/>
          <w:numId w:val="1009"/>
        </w:numPr>
        <w:pStyle w:val="Compact"/>
      </w:pPr>
      <w:r>
        <w:t xml:space="preserve">Most-endorsed item among people with essential tremor; 63.2% found their tremor embarrassing. Kellner et al., J Neurol Sci 2017</w:t>
      </w:r>
      <w:r>
        <w:br/>
      </w:r>
      <w:r>
        <w:t xml:space="preserve">https://pmc.ncbi.nlm.nih.gov/articles/PMC5739080</w:t>
      </w:r>
    </w:p>
    <w:p>
      <w:pPr>
        <w:numPr>
          <w:ilvl w:val="0"/>
          <w:numId w:val="1009"/>
        </w:numPr>
        <w:pStyle w:val="Compact"/>
      </w:pPr>
      <w:r>
        <w:t xml:space="preserve">Parkinson's caregivers, Southern India. Kurupath, Arathil &amp; Bansal, JCDR 2020</w:t>
      </w:r>
      <w:r>
        <w:br/>
      </w:r>
      <w:r>
        <w:t xml:space="preserve">https://jcdr.net/ReadXMLFile.aspx?id=14384</w:t>
      </w:r>
    </w:p>
    <w:p>
      <w:pPr>
        <w:numPr>
          <w:ilvl w:val="0"/>
          <w:numId w:val="1009"/>
        </w:numPr>
        <w:pStyle w:val="Compact"/>
      </w:pPr>
      <w:r>
        <w:t xml:space="preserve">IDC India wearables market 2024 (3.5 Cr smartwatches; 2.8% advanced)</w:t>
      </w:r>
      <w:r>
        <w:br/>
      </w:r>
      <w:r>
        <w:t xml:space="preserve">https://www.idc.com/getdoc.jsp?containerId=prAP53197625</w:t>
      </w:r>
    </w:p>
    <w:p>
      <w:pPr>
        <w:numPr>
          <w:ilvl w:val="0"/>
          <w:numId w:val="1009"/>
        </w:numPr>
        <w:pStyle w:val="Compact"/>
      </w:pPr>
      <w:r>
        <w:t xml:space="preserve">Census of India 2011 — 31.1% urban population</w:t>
      </w:r>
      <w:r>
        <w:br/>
      </w:r>
      <w:r>
        <w:t xml:space="preserve">https://censusindia.gov.in/</w:t>
      </w:r>
    </w:p>
    <w:p>
      <w:pPr>
        <w:numPr>
          <w:ilvl w:val="0"/>
          <w:numId w:val="1009"/>
        </w:numPr>
        <w:pStyle w:val="Compact"/>
      </w:pPr>
      <w:r>
        <w:t xml:space="preserve">CGST Act 2017, Section 54(3) — refund of unutilised ITC (inverted duty)</w:t>
      </w:r>
      <w:r>
        <w:br/>
      </w:r>
      <w:r>
        <w:t xml:space="preserve">https://cbic-gst.gov.in/</w:t>
      </w:r>
    </w:p>
    <w:p>
      <w:pPr>
        <w:numPr>
          <w:ilvl w:val="0"/>
          <w:numId w:val="1009"/>
        </w:numPr>
        <w:pStyle w:val="Compact"/>
      </w:pPr>
      <w:r>
        <w:t xml:space="preserve">Digital Personal Data Protection Act 2023</w:t>
      </w:r>
      <w:r>
        <w:br/>
      </w:r>
      <w:r>
        <w:t xml:space="preserve">https://www.meity.gov.in/data-protection-framework</w:t>
      </w:r>
    </w:p>
    <w:p>
      <w:pPr>
        <w:numPr>
          <w:ilvl w:val="0"/>
          <w:numId w:val="1009"/>
        </w:numPr>
        <w:pStyle w:val="Compact"/>
      </w:pPr>
      <w:r>
        <w:t xml:space="preserve">E-Waste (Management) Rules 2022</w:t>
      </w:r>
      <w:r>
        <w:br/>
      </w:r>
      <w:r>
        <w:t xml:space="preserve">https://cpcb.nic.in/e-waste/</w:t>
      </w:r>
    </w:p>
    <w:p>
      <w:pPr>
        <w:numPr>
          <w:ilvl w:val="0"/>
          <w:numId w:val="1009"/>
        </w:numPr>
        <w:pStyle w:val="Compact"/>
      </w:pPr>
      <w:r>
        <w:t xml:space="preserve">AVERRA pitch website</w:t>
      </w:r>
      <w:r>
        <w:br/>
      </w:r>
      <w:r>
        <w:t xml:space="preserve">https://averraproject.vercel.app</w:t>
      </w:r>
    </w:p>
    <w:bookmarkEnd w:id="118"/>
    <w:bookmarkEnd w:id="119"/>
    <w:bookmarkStart w:id="124" w:name="EVI"/>
    <w:bookmarkStart w:id="123" w:name="evidence-appendix"/>
    <w:p>
      <w:pPr>
        <w:pStyle w:val="Heading1"/>
      </w:pPr>
      <w:r>
        <w:t xml:space="preserve">Evidence appendix</w:t>
      </w:r>
    </w:p>
    <w:bookmarkStart w:id="120" w:name="evidence-status-of-all-15-models"/>
    <w:p>
      <w:pPr>
        <w:pStyle w:val="Heading2"/>
      </w:pPr>
      <w:r>
        <w:t xml:space="preserve">Evidence status of all 15 models</w:t>
      </w:r>
    </w:p>
    <w:tbl>
      <w:tblPr>
        <w:tblStyle w:val="Table"/>
        <w:tblW w:type="pct" w:w="5000"/>
        <w:tblLook w:firstRow="1" w:lastRow="0" w:firstColumn="0" w:lastColumn="0" w:noHBand="0" w:noVBand="0" w:val="0020"/>
        <w:jc w:val="start"/>
      </w:tblPr>
      <w:tblGrid>
        <w:gridCol w:w="792"/>
        <w:gridCol w:w="4752"/>
        <w:gridCol w:w="2376"/>
      </w:tblGrid>
      <w:tr>
        <w:trPr>
          <w:tblHeader w:val="true"/>
        </w:trPr>
        <w:tc>
          <w:tcPr/>
          <w:p>
            <w:pPr>
              <w:pStyle w:val="Compact"/>
              <w:jc w:val="left"/>
            </w:pPr>
            <w:r>
              <w:t xml:space="preserve">Model</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M1.1</w:t>
            </w:r>
          </w:p>
        </w:tc>
        <w:tc>
          <w:tcPr/>
          <w:p>
            <w:pPr>
              <w:pStyle w:val="Compact"/>
              <w:jc w:val="left"/>
            </w:pPr>
            <w:r>
              <w:t xml:space="preserve">Customer-Discovery Evidence Pack</w:t>
            </w:r>
          </w:p>
        </w:tc>
        <w:tc>
          <w:tcPr/>
          <w:p>
            <w:pPr>
              <w:pStyle w:val="Compact"/>
              <w:jc w:val="left"/>
            </w:pPr>
            <w:r>
              <w:t xml:space="preserve">Awaiting real-world evidence</w:t>
            </w:r>
          </w:p>
        </w:tc>
      </w:tr>
      <w:tr>
        <w:tc>
          <w:tcPr/>
          <w:p>
            <w:pPr>
              <w:pStyle w:val="Compact"/>
              <w:jc w:val="left"/>
            </w:pPr>
            <w:r>
              <w:t xml:space="preserve">M1.2</w:t>
            </w:r>
          </w:p>
        </w:tc>
        <w:tc>
          <w:tcPr/>
          <w:p>
            <w:pPr>
              <w:pStyle w:val="Compact"/>
              <w:jc w:val="left"/>
            </w:pPr>
            <w:r>
              <w:t xml:space="preserve">Opportunity Scorecard &amp; “Why Now?” Memo</w:t>
            </w:r>
          </w:p>
        </w:tc>
        <w:tc>
          <w:tcPr/>
          <w:p>
            <w:pPr>
              <w:pStyle w:val="Compact"/>
              <w:jc w:val="left"/>
            </w:pPr>
            <w:r>
              <w:t xml:space="preserve">Partially completed</w:t>
            </w:r>
          </w:p>
        </w:tc>
      </w:tr>
      <w:tr>
        <w:tc>
          <w:tcPr/>
          <w:p>
            <w:pPr>
              <w:pStyle w:val="Compact"/>
              <w:jc w:val="left"/>
            </w:pPr>
            <w:r>
              <w:t xml:space="preserve">M1.3</w:t>
            </w:r>
          </w:p>
        </w:tc>
        <w:tc>
          <w:tcPr/>
          <w:p>
            <w:pPr>
              <w:pStyle w:val="Compact"/>
              <w:jc w:val="left"/>
            </w:pPr>
            <w:r>
              <w:t xml:space="preserve">Venture Money-Model &amp; First-Budget Pack</w:t>
            </w:r>
          </w:p>
        </w:tc>
        <w:tc>
          <w:tcPr/>
          <w:p>
            <w:pPr>
              <w:pStyle w:val="Compact"/>
              <w:jc w:val="left"/>
            </w:pPr>
            <w:r>
              <w:t xml:space="preserve">Partially completed</w:t>
            </w:r>
          </w:p>
        </w:tc>
      </w:tr>
      <w:tr>
        <w:tc>
          <w:tcPr/>
          <w:p>
            <w:pPr>
              <w:pStyle w:val="Compact"/>
              <w:jc w:val="left"/>
            </w:pPr>
            <w:r>
              <w:t xml:space="preserve">M2.1</w:t>
            </w:r>
          </w:p>
        </w:tc>
        <w:tc>
          <w:tcPr/>
          <w:p>
            <w:pPr>
              <w:pStyle w:val="Compact"/>
              <w:jc w:val="left"/>
            </w:pPr>
            <w:r>
              <w:t xml:space="preserve">Evidence-Backed Business Model Canvas + Value Proposition Canvas</w:t>
            </w:r>
          </w:p>
        </w:tc>
        <w:tc>
          <w:tcPr/>
          <w:p>
            <w:pPr>
              <w:pStyle w:val="Compact"/>
              <w:jc w:val="left"/>
            </w:pPr>
            <w:r>
              <w:t xml:space="preserve">Partially completed</w:t>
            </w:r>
          </w:p>
        </w:tc>
      </w:tr>
      <w:tr>
        <w:tc>
          <w:tcPr/>
          <w:p>
            <w:pPr>
              <w:pStyle w:val="Compact"/>
              <w:jc w:val="left"/>
            </w:pPr>
            <w:r>
              <w:t xml:space="preserve">M2.2</w:t>
            </w:r>
          </w:p>
        </w:tc>
        <w:tc>
          <w:tcPr/>
          <w:p>
            <w:pPr>
              <w:pStyle w:val="Compact"/>
              <w:jc w:val="left"/>
            </w:pPr>
            <w:r>
              <w:t xml:space="preserve">MVP Validation Experiment &amp; Decision</w:t>
            </w:r>
          </w:p>
        </w:tc>
        <w:tc>
          <w:tcPr/>
          <w:p>
            <w:pPr>
              <w:pStyle w:val="Compact"/>
              <w:jc w:val="left"/>
            </w:pPr>
            <w:r>
              <w:t xml:space="preserve">Planned – protocol ready, not yet run</w:t>
            </w:r>
          </w:p>
        </w:tc>
      </w:tr>
      <w:tr>
        <w:tc>
          <w:tcPr/>
          <w:p>
            <w:pPr>
              <w:pStyle w:val="Compact"/>
              <w:jc w:val="left"/>
            </w:pPr>
            <w:r>
              <w:t xml:space="preserve">M2.3</w:t>
            </w:r>
          </w:p>
        </w:tc>
        <w:tc>
          <w:tcPr/>
          <w:p>
            <w:pPr>
              <w:pStyle w:val="Compact"/>
              <w:jc w:val="left"/>
            </w:pPr>
            <w:r>
              <w:t xml:space="preserve">Pricing, Margin &amp; Funnel Performance Pack</w:t>
            </w:r>
          </w:p>
        </w:tc>
        <w:tc>
          <w:tcPr/>
          <w:p>
            <w:pPr>
              <w:pStyle w:val="Compact"/>
              <w:jc w:val="left"/>
            </w:pPr>
            <w:r>
              <w:t xml:space="preserve">Partially completed</w:t>
            </w:r>
          </w:p>
        </w:tc>
      </w:tr>
      <w:tr>
        <w:tc>
          <w:tcPr/>
          <w:p>
            <w:pPr>
              <w:pStyle w:val="Compact"/>
              <w:jc w:val="left"/>
            </w:pPr>
            <w:r>
              <w:t xml:space="preserve">M3.1</w:t>
            </w:r>
          </w:p>
        </w:tc>
        <w:tc>
          <w:tcPr/>
          <w:p>
            <w:pPr>
              <w:pStyle w:val="Compact"/>
              <w:jc w:val="left"/>
            </w:pPr>
            <w:r>
              <w:t xml:space="preserve">Operating System &amp; Delivery-Process Blueprint</w:t>
            </w:r>
          </w:p>
        </w:tc>
        <w:tc>
          <w:tcPr/>
          <w:p>
            <w:pPr>
              <w:pStyle w:val="Compact"/>
              <w:jc w:val="left"/>
            </w:pPr>
            <w:r>
              <w:t xml:space="preserve">Planned – protocol ready, not yet run</w:t>
            </w:r>
          </w:p>
        </w:tc>
      </w:tr>
      <w:tr>
        <w:tc>
          <w:tcPr/>
          <w:p>
            <w:pPr>
              <w:pStyle w:val="Compact"/>
              <w:jc w:val="left"/>
            </w:pPr>
            <w:r>
              <w:t xml:space="preserve">M3.2</w:t>
            </w:r>
          </w:p>
        </w:tc>
        <w:tc>
          <w:tcPr/>
          <w:p>
            <w:pPr>
              <w:pStyle w:val="Compact"/>
              <w:jc w:val="left"/>
            </w:pPr>
            <w:r>
              <w:t xml:space="preserve">Unit-Economics &amp; Runway Model</w:t>
            </w:r>
          </w:p>
        </w:tc>
        <w:tc>
          <w:tcPr/>
          <w:p>
            <w:pPr>
              <w:pStyle w:val="Compact"/>
              <w:jc w:val="left"/>
            </w:pPr>
            <w:r>
              <w:t xml:space="preserve">Partially completed</w:t>
            </w:r>
          </w:p>
        </w:tc>
      </w:tr>
      <w:tr>
        <w:tc>
          <w:tcPr/>
          <w:p>
            <w:pPr>
              <w:pStyle w:val="Compact"/>
              <w:jc w:val="left"/>
            </w:pPr>
            <w:r>
              <w:t xml:space="preserve">M3.3</w:t>
            </w:r>
          </w:p>
        </w:tc>
        <w:tc>
          <w:tcPr/>
          <w:p>
            <w:pPr>
              <w:pStyle w:val="Compact"/>
              <w:jc w:val="left"/>
            </w:pPr>
            <w:r>
              <w:t xml:space="preserve">Legal-Structure, GST &amp; Compliance Blueprint</w:t>
            </w:r>
          </w:p>
        </w:tc>
        <w:tc>
          <w:tcPr/>
          <w:p>
            <w:pPr>
              <w:pStyle w:val="Compact"/>
              <w:jc w:val="left"/>
            </w:pPr>
            <w:r>
              <w:t xml:space="preserve">Partially completed</w:t>
            </w:r>
          </w:p>
        </w:tc>
      </w:tr>
      <w:tr>
        <w:tc>
          <w:tcPr/>
          <w:p>
            <w:pPr>
              <w:pStyle w:val="Compact"/>
              <w:jc w:val="left"/>
            </w:pPr>
            <w:r>
              <w:t xml:space="preserve">M4.1</w:t>
            </w:r>
          </w:p>
        </w:tc>
        <w:tc>
          <w:tcPr/>
          <w:p>
            <w:pPr>
              <w:pStyle w:val="Compact"/>
              <w:jc w:val="left"/>
            </w:pPr>
            <w:r>
              <w:t xml:space="preserve">Team &amp; Incentive Blueprint</w:t>
            </w:r>
          </w:p>
        </w:tc>
        <w:tc>
          <w:tcPr/>
          <w:p>
            <w:pPr>
              <w:pStyle w:val="Compact"/>
              <w:jc w:val="left"/>
            </w:pPr>
            <w:r>
              <w:t xml:space="preserve">Partially completed</w:t>
            </w:r>
          </w:p>
        </w:tc>
      </w:tr>
      <w:tr>
        <w:tc>
          <w:tcPr/>
          <w:p>
            <w:pPr>
              <w:pStyle w:val="Compact"/>
              <w:jc w:val="left"/>
            </w:pPr>
            <w:r>
              <w:t xml:space="preserve">M4.2</w:t>
            </w:r>
          </w:p>
        </w:tc>
        <w:tc>
          <w:tcPr/>
          <w:p>
            <w:pPr>
              <w:pStyle w:val="Compact"/>
              <w:jc w:val="left"/>
            </w:pPr>
            <w:r>
              <w:t xml:space="preserve">Growth-Engine Dashboard</w:t>
            </w:r>
          </w:p>
        </w:tc>
        <w:tc>
          <w:tcPr/>
          <w:p>
            <w:pPr>
              <w:pStyle w:val="Compact"/>
              <w:jc w:val="left"/>
            </w:pPr>
            <w:r>
              <w:t xml:space="preserve">Planned – protocol ready, not yet run</w:t>
            </w:r>
          </w:p>
        </w:tc>
      </w:tr>
      <w:tr>
        <w:tc>
          <w:tcPr/>
          <w:p>
            <w:pPr>
              <w:pStyle w:val="Compact"/>
              <w:jc w:val="left"/>
            </w:pPr>
            <w:r>
              <w:t xml:space="preserve">M4.3</w:t>
            </w:r>
          </w:p>
        </w:tc>
        <w:tc>
          <w:tcPr/>
          <w:p>
            <w:pPr>
              <w:pStyle w:val="Compact"/>
              <w:jc w:val="left"/>
            </w:pPr>
            <w:r>
              <w:t xml:space="preserve">Fundraising Model, Cap Table &amp; Investor Pitch</w:t>
            </w:r>
          </w:p>
        </w:tc>
        <w:tc>
          <w:tcPr/>
          <w:p>
            <w:pPr>
              <w:pStyle w:val="Compact"/>
              <w:jc w:val="left"/>
            </w:pPr>
            <w:r>
              <w:t xml:space="preserve">Partially completed</w:t>
            </w:r>
          </w:p>
        </w:tc>
      </w:tr>
      <w:tr>
        <w:tc>
          <w:tcPr/>
          <w:p>
            <w:pPr>
              <w:pStyle w:val="Compact"/>
              <w:jc w:val="left"/>
            </w:pPr>
            <w:r>
              <w:t xml:space="preserve">M5.1</w:t>
            </w:r>
          </w:p>
        </w:tc>
        <w:tc>
          <w:tcPr/>
          <w:p>
            <w:pPr>
              <w:pStyle w:val="Compact"/>
              <w:jc w:val="left"/>
            </w:pPr>
            <w:r>
              <w:t xml:space="preserve">Sustainable &amp; Ethical Enterprise Blueprint</w:t>
            </w:r>
          </w:p>
        </w:tc>
        <w:tc>
          <w:tcPr/>
          <w:p>
            <w:pPr>
              <w:pStyle w:val="Compact"/>
              <w:jc w:val="left"/>
            </w:pPr>
            <w:r>
              <w:t xml:space="preserve">Partially completed</w:t>
            </w:r>
          </w:p>
        </w:tc>
      </w:tr>
      <w:tr>
        <w:tc>
          <w:tcPr/>
          <w:p>
            <w:pPr>
              <w:pStyle w:val="Compact"/>
              <w:jc w:val="left"/>
            </w:pPr>
            <w:r>
              <w:t xml:space="preserve">M5.2</w:t>
            </w:r>
          </w:p>
        </w:tc>
        <w:tc>
          <w:tcPr/>
          <w:p>
            <w:pPr>
              <w:pStyle w:val="Compact"/>
              <w:jc w:val="left"/>
            </w:pPr>
            <w:r>
              <w:t xml:space="preserve">Live Launch &amp; Iteration Report</w:t>
            </w:r>
          </w:p>
        </w:tc>
        <w:tc>
          <w:tcPr/>
          <w:p>
            <w:pPr>
              <w:pStyle w:val="Compact"/>
              <w:jc w:val="left"/>
            </w:pPr>
            <w:r>
              <w:t xml:space="preserve">Awaiting real-world evidence</w:t>
            </w:r>
          </w:p>
        </w:tc>
      </w:tr>
      <w:tr>
        <w:tc>
          <w:tcPr/>
          <w:p>
            <w:pPr>
              <w:pStyle w:val="Compact"/>
              <w:jc w:val="left"/>
            </w:pPr>
            <w:r>
              <w:t xml:space="preserve">M5.3</w:t>
            </w:r>
          </w:p>
        </w:tc>
        <w:tc>
          <w:tcPr/>
          <w:p>
            <w:pPr>
              <w:pStyle w:val="Compact"/>
              <w:jc w:val="left"/>
            </w:pPr>
            <w:r>
              <w:t xml:space="preserve">Full Venture Launch &amp; Fundraising Package</w:t>
            </w:r>
          </w:p>
        </w:tc>
        <w:tc>
          <w:tcPr/>
          <w:p>
            <w:pPr>
              <w:pStyle w:val="Compact"/>
              <w:jc w:val="left"/>
            </w:pPr>
            <w:r>
              <w:t xml:space="preserve">Partially completed</w:t>
            </w:r>
          </w:p>
        </w:tc>
      </w:tr>
    </w:tbl>
    <w:bookmarkEnd w:id="120"/>
    <w:bookmarkStart w:id="121" w:name="evidence-already-in-hand"/>
    <w:p>
      <w:pPr>
        <w:pStyle w:val="Heading2"/>
      </w:pPr>
      <w:r>
        <w:t xml:space="preserve">Evidence already in hand</w:t>
      </w:r>
    </w:p>
    <w:p>
      <w:pPr>
        <w:numPr>
          <w:ilvl w:val="0"/>
          <w:numId w:val="1010"/>
        </w:numPr>
        <w:pStyle w:val="Compact"/>
      </w:pPr>
      <w:r>
        <w:t xml:space="preserve">Two working prototypes and repositories (ParkinSense develop branch; TremoSense project).</w:t>
      </w:r>
    </w:p>
    <w:p>
      <w:pPr>
        <w:numPr>
          <w:ilvl w:val="0"/>
          <w:numId w:val="1010"/>
        </w:numPr>
        <w:pStyle w:val="Compact"/>
      </w:pPr>
      <w:r>
        <w:t xml:space="preserve">Bench results: ParkinSense 8/8 bench conditions, ≈7 mA; TremoSense ≈90% bench rejection (founder-reported, logs to be published).</w:t>
      </w:r>
    </w:p>
    <w:p>
      <w:pPr>
        <w:numPr>
          <w:ilvl w:val="0"/>
          <w:numId w:val="1010"/>
        </w:numPr>
        <w:pStyle w:val="Compact"/>
      </w:pPr>
      <w:r>
        <w:t xml:space="preserve">Dated, sourced market and competitor figures (References).</w:t>
      </w:r>
    </w:p>
    <w:p>
      <w:pPr>
        <w:numPr>
          <w:ilvl w:val="0"/>
          <w:numId w:val="1010"/>
        </w:numPr>
        <w:pStyle w:val="Compact"/>
      </w:pPr>
      <w:r>
        <w:t xml:space="preserve">Financial model with live formulas (11 sheets).</w:t>
      </w:r>
    </w:p>
    <w:p>
      <w:pPr>
        <w:numPr>
          <w:ilvl w:val="0"/>
          <w:numId w:val="1010"/>
        </w:numPr>
        <w:pStyle w:val="Compact"/>
      </w:pPr>
      <w:r>
        <w:t xml:space="preserve">ParkinSense dashboard screenshot reading tremor at 4.88 Hz (pitch website).</w:t>
      </w:r>
    </w:p>
    <w:bookmarkEnd w:id="121"/>
    <w:bookmarkStart w:id="122" w:name="pending-evidence-checklist"/>
    <w:p>
      <w:pPr>
        <w:pStyle w:val="Heading2"/>
      </w:pPr>
      <w:r>
        <w:t xml:space="preserve">Pending-evidence checklist</w:t>
      </w:r>
    </w:p>
    <w:tbl>
      <w:tblPr>
        <w:tblStyle w:val="Table"/>
        <w:tblW w:type="pct" w:w="5000"/>
        <w:tblLook w:firstRow="1" w:lastRow="0" w:firstColumn="0" w:lastColumn="0" w:noHBand="0" w:noVBand="0" w:val="0020"/>
        <w:jc w:val="start"/>
      </w:tblPr>
      <w:tblGrid>
        <w:gridCol w:w="712"/>
        <w:gridCol w:w="3484"/>
        <w:gridCol w:w="3088"/>
        <w:gridCol w:w="633"/>
      </w:tblGrid>
      <w:tr>
        <w:trPr>
          <w:tblHeader w:val="true"/>
        </w:trPr>
        <w:tc>
          <w:tcPr/>
          <w:p>
            <w:pPr>
              <w:pStyle w:val="Compact"/>
              <w:jc w:val="left"/>
            </w:pPr>
            <w:r>
              <w:t xml:space="preserve">Model</w:t>
            </w:r>
          </w:p>
        </w:tc>
        <w:tc>
          <w:tcPr/>
          <w:p>
            <w:pPr>
              <w:pStyle w:val="Compact"/>
              <w:jc w:val="left"/>
            </w:pPr>
            <w:r>
              <w:t xml:space="preserve">Missing evidence</w:t>
            </w:r>
          </w:p>
        </w:tc>
        <w:tc>
          <w:tcPr/>
          <w:p>
            <w:pPr>
              <w:pStyle w:val="Compact"/>
              <w:jc w:val="left"/>
            </w:pPr>
            <w:r>
              <w:t xml:space="preserve">How to collect it</w:t>
            </w:r>
          </w:p>
        </w:tc>
        <w:tc>
          <w:tcPr/>
          <w:p>
            <w:pPr>
              <w:pStyle w:val="Compact"/>
              <w:jc w:val="left"/>
            </w:pPr>
            <w:r>
              <w:t xml:space="preserve">Done</w:t>
            </w:r>
          </w:p>
        </w:tc>
      </w:tr>
      <w:tr>
        <w:tc>
          <w:tcPr/>
          <w:p>
            <w:pPr>
              <w:pStyle w:val="Compact"/>
              <w:jc w:val="left"/>
            </w:pPr>
            <w:r>
              <w:t xml:space="preserve">M1.1</w:t>
            </w:r>
          </w:p>
        </w:tc>
        <w:tc>
          <w:tcPr/>
          <w:p>
            <w:pPr>
              <w:pStyle w:val="Compact"/>
              <w:jc w:val="left"/>
            </w:pPr>
            <w:r>
              <w:t xml:space="preserve">Five or more real customer interviews with verbatim answers and dates</w:t>
            </w:r>
          </w:p>
        </w:tc>
        <w:tc>
          <w:tcPr/>
          <w:p>
            <w:pPr>
              <w:pStyle w:val="Compact"/>
              <w:jc w:val="left"/>
            </w:pPr>
            <w:r>
              <w:t xml:space="preserve">Interview PD/ET patients and caregivers via clinics or support groups; record consent</w:t>
            </w:r>
          </w:p>
        </w:tc>
        <w:tc>
          <w:tcPr/>
          <w:p>
            <w:pPr>
              <w:pStyle w:val="Compact"/>
              <w:jc w:val="left"/>
            </w:pPr>
            <w:r>
              <w:t xml:space="preserve">☐</w:t>
            </w:r>
          </w:p>
        </w:tc>
      </w:tr>
      <w:tr>
        <w:tc>
          <w:tcPr/>
          <w:p>
            <w:pPr>
              <w:pStyle w:val="Compact"/>
              <w:jc w:val="left"/>
            </w:pPr>
            <w:r>
              <w:t xml:space="preserve">M1.2</w:t>
            </w:r>
          </w:p>
        </w:tc>
        <w:tc>
          <w:tcPr/>
          <w:p>
            <w:pPr>
              <w:pStyle w:val="Compact"/>
              <w:jc w:val="left"/>
            </w:pPr>
            <w:r>
              <w:t xml:space="preserve">Timed delivery of the 90-second pitch</w:t>
            </w:r>
          </w:p>
        </w:tc>
        <w:tc>
          <w:tcPr/>
          <w:p>
            <w:pPr>
              <w:pStyle w:val="Compact"/>
              <w:jc w:val="left"/>
            </w:pPr>
            <w:r>
              <w:t xml:space="preserve">Rehearse and record the time</w:t>
            </w:r>
          </w:p>
        </w:tc>
        <w:tc>
          <w:tcPr/>
          <w:p>
            <w:pPr>
              <w:pStyle w:val="Compact"/>
              <w:jc w:val="left"/>
            </w:pPr>
            <w:r>
              <w:t xml:space="preserve">☐</w:t>
            </w:r>
          </w:p>
        </w:tc>
      </w:tr>
      <w:tr>
        <w:tc>
          <w:tcPr/>
          <w:p>
            <w:pPr>
              <w:pStyle w:val="Compact"/>
              <w:jc w:val="left"/>
            </w:pPr>
            <w:r>
              <w:t xml:space="preserve">M1.3</w:t>
            </w:r>
          </w:p>
        </w:tc>
        <w:tc>
          <w:tcPr/>
          <w:p>
            <w:pPr>
              <w:pStyle w:val="Compact"/>
              <w:jc w:val="left"/>
            </w:pPr>
            <w:r>
              <w:t xml:space="preserve">Each founder's personal savings and monthly expenses</w:t>
            </w:r>
          </w:p>
        </w:tc>
        <w:tc>
          <w:tcPr/>
          <w:p>
            <w:pPr>
              <w:pStyle w:val="Compact"/>
              <w:jc w:val="left"/>
            </w:pPr>
            <w:r>
              <w:t xml:space="preserve">Fill in privately</w:t>
            </w:r>
          </w:p>
        </w:tc>
        <w:tc>
          <w:tcPr/>
          <w:p>
            <w:pPr>
              <w:pStyle w:val="Compact"/>
              <w:jc w:val="left"/>
            </w:pPr>
            <w:r>
              <w:t xml:space="preserve">☐</w:t>
            </w:r>
          </w:p>
        </w:tc>
      </w:tr>
      <w:tr>
        <w:tc>
          <w:tcPr/>
          <w:p>
            <w:pPr>
              <w:pStyle w:val="Compact"/>
              <w:jc w:val="left"/>
            </w:pPr>
            <w:r>
              <w:t xml:space="preserve">M2.2</w:t>
            </w:r>
          </w:p>
        </w:tc>
        <w:tc>
          <w:tcPr/>
          <w:p>
            <w:pPr>
              <w:pStyle w:val="Compact"/>
              <w:jc w:val="left"/>
            </w:pPr>
            <w:r>
              <w:t xml:space="preserve">Preregistered user-study results (n ≥ 10)</w:t>
            </w:r>
          </w:p>
        </w:tc>
        <w:tc>
          <w:tcPr/>
          <w:p>
            <w:pPr>
              <w:pStyle w:val="Compact"/>
              <w:jc w:val="left"/>
            </w:pPr>
            <w:r>
              <w:t xml:space="preserve">Run after ethics approval; compare with thresholds</w:t>
            </w:r>
          </w:p>
        </w:tc>
        <w:tc>
          <w:tcPr/>
          <w:p>
            <w:pPr>
              <w:pStyle w:val="Compact"/>
              <w:jc w:val="left"/>
            </w:pPr>
            <w:r>
              <w:t xml:space="preserve">☐</w:t>
            </w:r>
          </w:p>
        </w:tc>
      </w:tr>
      <w:tr>
        <w:tc>
          <w:tcPr/>
          <w:p>
            <w:pPr>
              <w:pStyle w:val="Compact"/>
              <w:jc w:val="left"/>
            </w:pPr>
            <w:r>
              <w:t xml:space="preserve">M2.2</w:t>
            </w:r>
          </w:p>
        </w:tc>
        <w:tc>
          <w:tcPr/>
          <w:p>
            <w:pPr>
              <w:pStyle w:val="Compact"/>
              <w:jc w:val="left"/>
            </w:pPr>
            <w:r>
              <w:t xml:space="preserve">Published TremoSense bench logs and tuned constants (≈90% figure)</w:t>
            </w:r>
          </w:p>
        </w:tc>
        <w:tc>
          <w:tcPr/>
          <w:p>
            <w:pPr>
              <w:pStyle w:val="Compact"/>
              <w:jc w:val="left"/>
            </w:pPr>
            <w:r>
              <w:t xml:space="preserve">Publish logs in the repository</w:t>
            </w:r>
          </w:p>
        </w:tc>
        <w:tc>
          <w:tcPr/>
          <w:p>
            <w:pPr>
              <w:pStyle w:val="Compact"/>
              <w:jc w:val="left"/>
            </w:pPr>
            <w:r>
              <w:t xml:space="preserve">☐</w:t>
            </w:r>
          </w:p>
        </w:tc>
      </w:tr>
      <w:tr>
        <w:tc>
          <w:tcPr/>
          <w:p>
            <w:pPr>
              <w:pStyle w:val="Compact"/>
              <w:jc w:val="left"/>
            </w:pPr>
            <w:r>
              <w:t xml:space="preserve">M2.3</w:t>
            </w:r>
          </w:p>
        </w:tc>
        <w:tc>
          <w:tcPr/>
          <w:p>
            <w:pPr>
              <w:pStyle w:val="Compact"/>
              <w:jc w:val="left"/>
            </w:pPr>
            <w:r>
              <w:t xml:space="preserve">Real price-test responses; first sale or preorder proof</w:t>
            </w:r>
          </w:p>
        </w:tc>
        <w:tc>
          <w:tcPr/>
          <w:p>
            <w:pPr>
              <w:pStyle w:val="Compact"/>
              <w:jc w:val="left"/>
            </w:pPr>
            <w:r>
              <w:t xml:space="preserve">Van Westendorp + refundable deposit</w:t>
            </w:r>
          </w:p>
        </w:tc>
        <w:tc>
          <w:tcPr/>
          <w:p>
            <w:pPr>
              <w:pStyle w:val="Compact"/>
              <w:jc w:val="left"/>
            </w:pPr>
            <w:r>
              <w:t xml:space="preserve">☐</w:t>
            </w:r>
          </w:p>
        </w:tc>
      </w:tr>
      <w:tr>
        <w:tc>
          <w:tcPr/>
          <w:p>
            <w:pPr>
              <w:pStyle w:val="Compact"/>
              <w:jc w:val="left"/>
            </w:pPr>
            <w:r>
              <w:t xml:space="preserve">M3.1</w:t>
            </w:r>
          </w:p>
        </w:tc>
        <w:tc>
          <w:tcPr/>
          <w:p>
            <w:pPr>
              <w:pStyle w:val="Compact"/>
              <w:jc w:val="left"/>
            </w:pPr>
            <w:r>
              <w:t xml:space="preserve">Measured step times on the first batch</w:t>
            </w:r>
          </w:p>
        </w:tc>
        <w:tc>
          <w:tcPr/>
          <w:p>
            <w:pPr>
              <w:pStyle w:val="Compact"/>
              <w:jc w:val="left"/>
            </w:pPr>
            <w:r>
              <w:t xml:space="preserve">Time each step on the pilot</w:t>
            </w:r>
          </w:p>
        </w:tc>
        <w:tc>
          <w:tcPr/>
          <w:p>
            <w:pPr>
              <w:pStyle w:val="Compact"/>
              <w:jc w:val="left"/>
            </w:pPr>
            <w:r>
              <w:t xml:space="preserve">☐</w:t>
            </w:r>
          </w:p>
        </w:tc>
      </w:tr>
      <w:tr>
        <w:tc>
          <w:tcPr/>
          <w:p>
            <w:pPr>
              <w:pStyle w:val="Compact"/>
              <w:jc w:val="left"/>
            </w:pPr>
            <w:r>
              <w:t xml:space="preserve">M3.3</w:t>
            </w:r>
          </w:p>
        </w:tc>
        <w:tc>
          <w:tcPr/>
          <w:p>
            <w:pPr>
              <w:pStyle w:val="Compact"/>
              <w:jc w:val="left"/>
            </w:pPr>
            <w:r>
              <w:t xml:space="preserve">CA confirmation of HSN codes and GST rates</w:t>
            </w:r>
          </w:p>
        </w:tc>
        <w:tc>
          <w:tcPr/>
          <w:p>
            <w:pPr>
              <w:pStyle w:val="Compact"/>
              <w:jc w:val="left"/>
            </w:pPr>
            <w:r>
              <w:t xml:space="preserve">Consult a chartered accountant</w:t>
            </w:r>
          </w:p>
        </w:tc>
        <w:tc>
          <w:tcPr/>
          <w:p>
            <w:pPr>
              <w:pStyle w:val="Compact"/>
              <w:jc w:val="left"/>
            </w:pPr>
            <w:r>
              <w:t xml:space="preserve">☐</w:t>
            </w:r>
          </w:p>
        </w:tc>
      </w:tr>
      <w:tr>
        <w:tc>
          <w:tcPr/>
          <w:p>
            <w:pPr>
              <w:pStyle w:val="Compact"/>
              <w:jc w:val="left"/>
            </w:pPr>
            <w:r>
              <w:t xml:space="preserve">M4.1</w:t>
            </w:r>
          </w:p>
        </w:tc>
        <w:tc>
          <w:tcPr/>
          <w:p>
            <w:pPr>
              <w:pStyle w:val="Compact"/>
              <w:jc w:val="left"/>
            </w:pPr>
            <w:r>
              <w:t xml:space="preserve">Agreed founder scores; mock-interview record</w:t>
            </w:r>
          </w:p>
        </w:tc>
        <w:tc>
          <w:tcPr/>
          <w:p>
            <w:pPr>
              <w:pStyle w:val="Compact"/>
              <w:jc w:val="left"/>
            </w:pPr>
            <w:r>
              <w:t xml:space="preserve">Founders' meeting; classmate interview</w:t>
            </w:r>
          </w:p>
        </w:tc>
        <w:tc>
          <w:tcPr/>
          <w:p>
            <w:pPr>
              <w:pStyle w:val="Compact"/>
              <w:jc w:val="left"/>
            </w:pPr>
            <w:r>
              <w:t xml:space="preserve">☐</w:t>
            </w:r>
          </w:p>
        </w:tc>
      </w:tr>
      <w:tr>
        <w:tc>
          <w:tcPr/>
          <w:p>
            <w:pPr>
              <w:pStyle w:val="Compact"/>
              <w:jc w:val="left"/>
            </w:pPr>
            <w:r>
              <w:t xml:space="preserve">M4.2</w:t>
            </w:r>
          </w:p>
        </w:tc>
        <w:tc>
          <w:tcPr/>
          <w:p>
            <w:pPr>
              <w:pStyle w:val="Compact"/>
              <w:jc w:val="left"/>
            </w:pPr>
            <w:r>
              <w:t xml:space="preserve">Campaign reach/clicks/CAC/ROAS; cohort retention</w:t>
            </w:r>
          </w:p>
        </w:tc>
        <w:tc>
          <w:tcPr/>
          <w:p>
            <w:pPr>
              <w:pStyle w:val="Compact"/>
              <w:jc w:val="left"/>
            </w:pPr>
            <w:r>
              <w:t xml:space="preserve">Run one small campaign; track users</w:t>
            </w:r>
          </w:p>
        </w:tc>
        <w:tc>
          <w:tcPr/>
          <w:p>
            <w:pPr>
              <w:pStyle w:val="Compact"/>
              <w:jc w:val="left"/>
            </w:pPr>
            <w:r>
              <w:t xml:space="preserve">☐</w:t>
            </w:r>
          </w:p>
        </w:tc>
      </w:tr>
      <w:tr>
        <w:tc>
          <w:tcPr/>
          <w:p>
            <w:pPr>
              <w:pStyle w:val="Compact"/>
              <w:jc w:val="left"/>
            </w:pPr>
            <w:r>
              <w:t xml:space="preserve">M4.3</w:t>
            </w:r>
          </w:p>
        </w:tc>
        <w:tc>
          <w:tcPr/>
          <w:p>
            <w:pPr>
              <w:pStyle w:val="Compact"/>
              <w:jc w:val="left"/>
            </w:pPr>
            <w:r>
              <w:t xml:space="preserve">Mock-panel pitch date and questions</w:t>
            </w:r>
          </w:p>
        </w:tc>
        <w:tc>
          <w:tcPr/>
          <w:p>
            <w:pPr>
              <w:pStyle w:val="Compact"/>
              <w:jc w:val="left"/>
            </w:pPr>
            <w:r>
              <w:t xml:space="preserve">Record after the class pitch</w:t>
            </w:r>
          </w:p>
        </w:tc>
        <w:tc>
          <w:tcPr/>
          <w:p>
            <w:pPr>
              <w:pStyle w:val="Compact"/>
              <w:jc w:val="left"/>
            </w:pPr>
            <w:r>
              <w:t xml:space="preserve">☐</w:t>
            </w:r>
          </w:p>
        </w:tc>
      </w:tr>
      <w:tr>
        <w:tc>
          <w:tcPr/>
          <w:p>
            <w:pPr>
              <w:pStyle w:val="Compact"/>
              <w:jc w:val="left"/>
            </w:pPr>
            <w:r>
              <w:t xml:space="preserve">M5.2</w:t>
            </w:r>
          </w:p>
        </w:tc>
        <w:tc>
          <w:tcPr/>
          <w:p>
            <w:pPr>
              <w:pStyle w:val="Compact"/>
              <w:jc w:val="left"/>
            </w:pPr>
            <w:r>
              <w:t xml:space="preserve">Pilot launch, real feedback, one change and its effect</w:t>
            </w:r>
          </w:p>
        </w:tc>
        <w:tc>
          <w:tcPr/>
          <w:p>
            <w:pPr>
              <w:pStyle w:val="Compact"/>
              <w:jc w:val="left"/>
            </w:pPr>
            <w:r>
              <w:t xml:space="preserve">Run the in-clinic pilot</w:t>
            </w:r>
          </w:p>
        </w:tc>
        <w:tc>
          <w:tcPr/>
          <w:p>
            <w:pPr>
              <w:pStyle w:val="Compact"/>
              <w:jc w:val="left"/>
            </w:pPr>
            <w:r>
              <w:t xml:space="preserve">☐</w:t>
            </w:r>
          </w:p>
        </w:tc>
      </w:tr>
      <w:tr>
        <w:tc>
          <w:tcPr/>
          <w:p>
            <w:pPr>
              <w:pStyle w:val="Compact"/>
              <w:jc w:val="left"/>
            </w:pPr>
            <w:r>
              <w:t xml:space="preserve">M5.3</w:t>
            </w:r>
          </w:p>
        </w:tc>
        <w:tc>
          <w:tcPr/>
          <w:p>
            <w:pPr>
              <w:pStyle w:val="Compact"/>
              <w:jc w:val="left"/>
            </w:pPr>
            <w:r>
              <w:t xml:space="preserve">Personal entrepreneurial thesis</w:t>
            </w:r>
          </w:p>
        </w:tc>
        <w:tc>
          <w:tcPr/>
          <w:p>
            <w:pPr>
              <w:pStyle w:val="Compact"/>
              <w:jc w:val="left"/>
            </w:pPr>
            <w:r>
              <w:t xml:space="preserve">Each founder writes their own</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ICMR clinical-evaluation results (ParkinSense)</w:t>
            </w:r>
          </w:p>
        </w:tc>
        <w:tc>
          <w:tcPr/>
          <w:p>
            <w:pPr>
              <w:pStyle w:val="Compact"/>
              <w:jc w:val="left"/>
            </w:pPr>
            <w:r>
              <w:t xml:space="preserve">Add when published; no clinical claim until then</w:t>
            </w:r>
          </w:p>
        </w:tc>
        <w:tc>
          <w:tcPr/>
          <w:p>
            <w:pPr>
              <w:pStyle w:val="Compact"/>
              <w:jc w:val="left"/>
            </w:pPr>
            <w:r>
              <w:t xml:space="preserve">☐</w:t>
            </w:r>
          </w:p>
        </w:tc>
      </w:tr>
      <w:tr>
        <w:tc>
          <w:tcPr/>
          <w:p>
            <w:pPr>
              <w:pStyle w:val="Compact"/>
              <w:jc w:val="left"/>
            </w:pPr>
            <w:r>
              <w:t xml:space="preserve">All</w:t>
            </w:r>
          </w:p>
        </w:tc>
        <w:tc>
          <w:tcPr/>
          <w:p>
            <w:pPr>
              <w:pStyle w:val="Compact"/>
              <w:jc w:val="left"/>
            </w:pPr>
            <w:r>
              <w:t xml:space="preserve">Patent filing receipt (currently planned, not filed)</w:t>
            </w:r>
          </w:p>
        </w:tc>
        <w:tc>
          <w:tcPr/>
          <w:p>
            <w:pPr>
              <w:pStyle w:val="Compact"/>
              <w:jc w:val="left"/>
            </w:pPr>
            <w:r>
              <w:t xml:space="preserve">File the provisional and attach the receipt</w:t>
            </w:r>
          </w:p>
        </w:tc>
        <w:tc>
          <w:tcPr/>
          <w:p>
            <w:pPr>
              <w:pStyle w:val="Compact"/>
              <w:jc w:val="left"/>
            </w:pPr>
            <w:r>
              <w:t xml:space="preserve">☐</w:t>
            </w:r>
          </w:p>
        </w:tc>
      </w:tr>
    </w:tbl>
    <w:bookmarkEnd w:id="122"/>
    <w:bookmarkEnd w:id="123"/>
    <w:bookmarkEnd w:id="124"/>
    <w:bookmarkStart w:id="126" w:name="INC"/>
    <w:bookmarkStart w:id="125" w:name="X4b289c08c1f342ee35ad7bf7f78e0a1c2e62c4f"/>
    <w:p>
      <w:pPr>
        <w:pStyle w:val="Heading1"/>
      </w:pPr>
      <w:r>
        <w:t xml:space="preserve">Inconsistencies found in the existing AVERRA files</w:t>
      </w:r>
    </w:p>
    <w:p>
      <w:pPr>
        <w:pStyle w:val="FirstParagraph"/>
      </w:pPr>
      <w:r>
        <w:t xml:space="preserve">Reported, not silently changed. The deck and workbook were not modified for this portfolio.</w:t>
      </w:r>
    </w:p>
    <w:tbl>
      <w:tblPr>
        <w:tblStyle w:val="Table"/>
        <w:tblW w:type="pct" w:w="5000"/>
        <w:tblLook w:firstRow="1" w:lastRow="0" w:firstColumn="0" w:lastColumn="0" w:noHBand="0" w:noVBand="0" w:val="0020"/>
        <w:jc w:val="start"/>
      </w:tblPr>
      <w:tblGrid>
        <w:gridCol w:w="316"/>
        <w:gridCol w:w="3009"/>
        <w:gridCol w:w="1900"/>
        <w:gridCol w:w="2692"/>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Where</w:t>
            </w:r>
          </w:p>
        </w:tc>
        <w:tc>
          <w:tcPr/>
          <w:p>
            <w:pPr>
              <w:pStyle w:val="Compact"/>
              <w:jc w:val="left"/>
            </w:pPr>
            <w:r>
              <w:t xml:space="preserve">What to resolve</w:t>
            </w:r>
          </w:p>
        </w:tc>
      </w:tr>
      <w:tr>
        <w:tc>
          <w:tcPr/>
          <w:p>
            <w:pPr>
              <w:pStyle w:val="Compact"/>
              <w:jc w:val="left"/>
            </w:pPr>
            <w:r>
              <w:t xml:space="preserve">1</w:t>
            </w:r>
          </w:p>
        </w:tc>
        <w:tc>
          <w:tcPr/>
          <w:p>
            <w:pPr>
              <w:pStyle w:val="Compact"/>
              <w:jc w:val="left"/>
            </w:pPr>
            <w:r>
              <w:t xml:space="preserve">The course asks for a 10–14 slide pitch; the current deck and website have 17 slides</w:t>
            </w:r>
          </w:p>
        </w:tc>
        <w:tc>
          <w:tcPr/>
          <w:p>
            <w:pPr>
              <w:pStyle w:val="Compact"/>
              <w:jc w:val="left"/>
            </w:pPr>
            <w:r>
              <w:t xml:space="preserve">deck/AVERRA_Pitch.pptx, website</w:t>
            </w:r>
          </w:p>
        </w:tc>
        <w:tc>
          <w:tcPr/>
          <w:p>
            <w:pPr>
              <w:pStyle w:val="Compact"/>
              <w:jc w:val="left"/>
            </w:pPr>
            <w:r>
              <w:t xml:space="preserve">Merge Why now into Problem, move Architecture to backup, and fold Competitive advantage into the close for a 14-slide timed version</w:t>
            </w:r>
          </w:p>
        </w:tc>
      </w:tr>
      <w:tr>
        <w:tc>
          <w:tcPr/>
          <w:p>
            <w:pPr>
              <w:pStyle w:val="Compact"/>
              <w:jc w:val="left"/>
            </w:pPr>
            <w:r>
              <w:t xml:space="preserve">2</w:t>
            </w:r>
          </w:p>
        </w:tc>
        <w:tc>
          <w:tcPr/>
          <w:p>
            <w:pPr>
              <w:pStyle w:val="Compact"/>
              <w:jc w:val="left"/>
            </w:pPr>
            <w:r>
              <w:t xml:space="preserve">Required Problem slide asks for quotes from own interviews; the deck uses published research quotes</w:t>
            </w:r>
          </w:p>
        </w:tc>
        <w:tc>
          <w:tcPr/>
          <w:p>
            <w:pPr>
              <w:pStyle w:val="Compact"/>
              <w:jc w:val="left"/>
            </w:pPr>
            <w:r>
              <w:t xml:space="preserve">Problem slide</w:t>
            </w:r>
          </w:p>
        </w:tc>
        <w:tc>
          <w:tcPr/>
          <w:p>
            <w:pPr>
              <w:pStyle w:val="Compact"/>
              <w:jc w:val="left"/>
            </w:pPr>
            <w:r>
              <w:t xml:space="preserve">Replace or add quotes after M1.1 interviews</w:t>
            </w:r>
          </w:p>
        </w:tc>
      </w:tr>
      <w:tr>
        <w:tc>
          <w:tcPr/>
          <w:p>
            <w:pPr>
              <w:pStyle w:val="Compact"/>
              <w:jc w:val="left"/>
            </w:pPr>
            <w:r>
              <w:t xml:space="preserve">3</w:t>
            </w:r>
          </w:p>
        </w:tc>
        <w:tc>
          <w:tcPr/>
          <w:p>
            <w:pPr>
              <w:pStyle w:val="Compact"/>
              <w:jc w:val="left"/>
            </w:pPr>
            <w:r>
              <w:t xml:space="preserve">ESOP pool is 5%; the course example suggests 10–15%</w:t>
            </w:r>
          </w:p>
        </w:tc>
        <w:tc>
          <w:tcPr/>
          <w:p>
            <w:pPr>
              <w:pStyle w:val="Compact"/>
              <w:jc w:val="left"/>
            </w:pPr>
            <w:r>
              <w:t xml:space="preserve">Funding Scenarios sheet</w:t>
            </w:r>
          </w:p>
        </w:tc>
        <w:tc>
          <w:tcPr/>
          <w:p>
            <w:pPr>
              <w:pStyle w:val="Compact"/>
              <w:jc w:val="left"/>
            </w:pPr>
            <w:r>
              <w:t xml:space="preserve">Founders to confirm 5% now with a top-up at tranche 2, or resize and re-run ownership</w:t>
            </w:r>
          </w:p>
        </w:tc>
      </w:tr>
      <w:tr>
        <w:tc>
          <w:tcPr/>
          <w:p>
            <w:pPr>
              <w:pStyle w:val="Compact"/>
              <w:jc w:val="left"/>
            </w:pPr>
            <w:r>
              <w:t xml:space="preserve">4</w:t>
            </w:r>
          </w:p>
        </w:tc>
        <w:tc>
          <w:tcPr/>
          <w:p>
            <w:pPr>
              <w:pStyle w:val="Compact"/>
              <w:jc w:val="left"/>
            </w:pPr>
            <w:r>
              <w:t xml:space="preserve">Milestone list places M25 (ParkinSense launch) before M23 (break-even)</w:t>
            </w:r>
          </w:p>
        </w:tc>
        <w:tc>
          <w:tcPr/>
          <w:p>
            <w:pPr>
              <w:pStyle w:val="Compact"/>
              <w:jc w:val="left"/>
            </w:pPr>
            <w:r>
              <w:t xml:space="preserve">content milestones / website timeline</w:t>
            </w:r>
          </w:p>
        </w:tc>
        <w:tc>
          <w:tcPr/>
          <w:p>
            <w:pPr>
              <w:pStyle w:val="Compact"/>
              <w:jc w:val="left"/>
            </w:pPr>
            <w:r>
              <w:t xml:space="preserve">Reorder chronologically</w:t>
            </w:r>
          </w:p>
        </w:tc>
      </w:tr>
      <w:tr>
        <w:tc>
          <w:tcPr/>
          <w:p>
            <w:pPr>
              <w:pStyle w:val="Compact"/>
              <w:jc w:val="left"/>
            </w:pPr>
            <w:r>
              <w:t xml:space="preserve">5</w:t>
            </w:r>
          </w:p>
        </w:tc>
        <w:tc>
          <w:tcPr/>
          <w:p>
            <w:pPr>
              <w:pStyle w:val="Compact"/>
              <w:jc w:val="left"/>
            </w:pPr>
            <w:r>
              <w:t xml:space="preserve">README still describes older items (TremoSense “not yet tested with users”; older competitor set; patent “in preparation”)</w:t>
            </w:r>
          </w:p>
        </w:tc>
        <w:tc>
          <w:tcPr/>
          <w:p>
            <w:pPr>
              <w:pStyle w:val="Compact"/>
              <w:jc w:val="left"/>
            </w:pPr>
            <w:r>
              <w:t xml:space="preserve">README.md</w:t>
            </w:r>
          </w:p>
        </w:tc>
        <w:tc>
          <w:tcPr/>
          <w:p>
            <w:pPr>
              <w:pStyle w:val="Compact"/>
              <w:jc w:val="left"/>
            </w:pPr>
            <w:r>
              <w:t xml:space="preserve">Update to: 2 informal users; WHOOP/Garmin Cirqa/Fitbit Air/Helio Strap; provisional filing planned</w:t>
            </w:r>
          </w:p>
        </w:tc>
      </w:tr>
      <w:tr>
        <w:tc>
          <w:tcPr/>
          <w:p>
            <w:pPr>
              <w:pStyle w:val="Compact"/>
              <w:jc w:val="left"/>
            </w:pPr>
            <w:r>
              <w:t xml:space="preserve">6</w:t>
            </w:r>
          </w:p>
        </w:tc>
        <w:tc>
          <w:tcPr/>
          <w:p>
            <w:pPr>
              <w:pStyle w:val="Compact"/>
              <w:jc w:val="left"/>
            </w:pPr>
            <w:r>
              <w:t xml:space="preserve">Advantage note dated 12 Oct 2026 while competitor prices were re-checked 16 Oct 2026</w:t>
            </w:r>
          </w:p>
        </w:tc>
        <w:tc>
          <w:tcPr/>
          <w:p>
            <w:pPr>
              <w:pStyle w:val="Compact"/>
              <w:jc w:val="left"/>
            </w:pPr>
            <w:r>
              <w:t xml:space="preserve">content advantage note (now corrected in source to 16 Oct)</w:t>
            </w:r>
          </w:p>
        </w:tc>
        <w:tc>
          <w:tcPr/>
          <w:p>
            <w:pPr>
              <w:pStyle w:val="Compact"/>
              <w:jc w:val="left"/>
            </w:pPr>
            <w:r>
              <w:t xml:space="preserve">Rebuild website/deck once to pick up the corrected note</w:t>
            </w:r>
          </w:p>
        </w:tc>
      </w:tr>
      <w:tr>
        <w:tc>
          <w:tcPr/>
          <w:p>
            <w:pPr>
              <w:pStyle w:val="Compact"/>
              <w:jc w:val="left"/>
            </w:pPr>
            <w:r>
              <w:t xml:space="preserve">7</w:t>
            </w:r>
          </w:p>
        </w:tc>
        <w:tc>
          <w:tcPr/>
          <w:p>
            <w:pPr>
              <w:pStyle w:val="Compact"/>
              <w:jc w:val="left"/>
            </w:pPr>
            <w:r>
              <w:t xml:space="preserve">Bad-growth scenario is computed in this portfolio from the Price Matrix but is not a toggle in the workbook</w:t>
            </w:r>
          </w:p>
        </w:tc>
        <w:tc>
          <w:tcPr/>
          <w:p>
            <w:pPr>
              <w:pStyle w:val="Compact"/>
              <w:jc w:val="left"/>
            </w:pPr>
            <w:r>
              <w:t xml:space="preserve">Financial model</w:t>
            </w:r>
          </w:p>
        </w:tc>
        <w:tc>
          <w:tcPr/>
          <w:p>
            <w:pPr>
              <w:pStyle w:val="Compact"/>
              <w:jc w:val="left"/>
            </w:pPr>
            <w:r>
              <w:t xml:space="preserve">Optionally add a bad-growth toggle sheet</w:t>
            </w:r>
          </w:p>
        </w:tc>
      </w:tr>
    </w:tbl>
    <w:bookmarkEnd w:id="125"/>
    <w:bookmarkEnd w:id="126"/>
    <w:bookmarkStart w:id="129" w:name="FIN"/>
    <w:bookmarkStart w:id="127" w:name="final-completeness-checklist"/>
    <w:p>
      <w:pPr>
        <w:pStyle w:val="Heading1"/>
      </w:pPr>
      <w:r>
        <w:t xml:space="preserve">Final completeness checklist</w:t>
      </w:r>
    </w:p>
    <w:tbl>
      <w:tblPr>
        <w:tblStyle w:val="Table"/>
        <w:tblW w:type="pct" w:w="5000"/>
        <w:tblLook w:firstRow="1" w:lastRow="0" w:firstColumn="0" w:lastColumn="0" w:noHBand="0" w:noVBand="0" w:val="0020"/>
        <w:jc w:val="start"/>
      </w:tblPr>
      <w:tblGrid>
        <w:gridCol w:w="4752"/>
        <w:gridCol w:w="3168"/>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All 15 mandatory models present, labelled M1.1–M5.3, in module order</w:t>
            </w:r>
          </w:p>
        </w:tc>
        <w:tc>
          <w:tcPr/>
          <w:p>
            <w:pPr>
              <w:pStyle w:val="Compact"/>
              <w:jc w:val="left"/>
            </w:pPr>
            <w:r>
              <w:t xml:space="preserve">Yes</w:t>
            </w:r>
          </w:p>
        </w:tc>
      </w:tr>
      <w:tr>
        <w:tc>
          <w:tcPr/>
          <w:p>
            <w:pPr>
              <w:pStyle w:val="Compact"/>
              <w:jc w:val="left"/>
            </w:pPr>
            <w:r>
              <w:t xml:space="preserve">Each sheet has module, activity, title, date field, AI disclosure and evidence status</w:t>
            </w:r>
          </w:p>
        </w:tc>
        <w:tc>
          <w:tcPr/>
          <w:p>
            <w:pPr>
              <w:pStyle w:val="Compact"/>
              <w:jc w:val="left"/>
            </w:pPr>
            <w:r>
              <w:t xml:space="preserve">Yes</w:t>
            </w:r>
          </w:p>
        </w:tc>
      </w:tr>
      <w:tr>
        <w:tc>
          <w:tcPr/>
          <w:p>
            <w:pPr>
              <w:pStyle w:val="Compact"/>
              <w:jc w:val="left"/>
            </w:pPr>
            <w:r>
              <w:t xml:space="preserve">Figures cross-checked against the workbook (export of 16 Oct 2026)</w:t>
            </w:r>
          </w:p>
        </w:tc>
        <w:tc>
          <w:tcPr/>
          <w:p>
            <w:pPr>
              <w:pStyle w:val="Compact"/>
              <w:jc w:val="left"/>
            </w:pPr>
            <w:r>
              <w:t xml:space="preserve">Yes — generated directly from the model</w:t>
            </w:r>
          </w:p>
        </w:tc>
      </w:tr>
      <w:tr>
        <w:tc>
          <w:tcPr/>
          <w:p>
            <w:pPr>
              <w:pStyle w:val="Compact"/>
              <w:jc w:val="left"/>
            </w:pPr>
            <w:r>
              <w:t xml:space="preserve">Funding ask, valuation, ownership and ESOP</w:t>
            </w:r>
          </w:p>
        </w:tc>
        <w:tc>
          <w:tcPr/>
          <w:p>
            <w:pPr>
              <w:pStyle w:val="Compact"/>
              <w:jc w:val="left"/>
            </w:pPr>
            <w:r>
              <w:t xml:space="preserve">₹10,51,171; ₹75 L pre (negotiation target); post ₹85,51,171; investor 12.29%; ESOP 5%; founders 82.71%</w:t>
            </w:r>
          </w:p>
        </w:tc>
      </w:tr>
      <w:tr>
        <w:tc>
          <w:tcPr/>
          <w:p>
            <w:pPr>
              <w:pStyle w:val="Compact"/>
              <w:jc w:val="left"/>
            </w:pPr>
            <w:r>
              <w:t xml:space="preserve">Grant described as secured anywhere?</w:t>
            </w:r>
          </w:p>
        </w:tc>
        <w:tc>
          <w:tcPr/>
          <w:p>
            <w:pPr>
              <w:pStyle w:val="Compact"/>
              <w:jc w:val="left"/>
            </w:pPr>
            <w:r>
              <w:t xml:space="preserve">No — applied for, not secured</w:t>
            </w:r>
          </w:p>
        </w:tc>
      </w:tr>
      <w:tr>
        <w:tc>
          <w:tcPr/>
          <w:p>
            <w:pPr>
              <w:pStyle w:val="Compact"/>
              <w:jc w:val="left"/>
            </w:pPr>
            <w:r>
              <w:t xml:space="preserve">Patent or clinical claims presented as fact?</w:t>
            </w:r>
          </w:p>
        </w:tc>
        <w:tc>
          <w:tcPr/>
          <w:p>
            <w:pPr>
              <w:pStyle w:val="Compact"/>
              <w:jc w:val="left"/>
            </w:pPr>
            <w:r>
              <w:t xml:space="preserve">No — patent filing planned; ICMR results pending</w:t>
            </w:r>
          </w:p>
        </w:tc>
      </w:tr>
      <w:tr>
        <w:tc>
          <w:tcPr/>
          <w:p>
            <w:pPr>
              <w:pStyle w:val="Compact"/>
              <w:jc w:val="left"/>
            </w:pPr>
            <w:r>
              <w:t xml:space="preserve">Interviews, sales, campaign data or launch results invented?</w:t>
            </w:r>
          </w:p>
        </w:tc>
        <w:tc>
          <w:tcPr/>
          <w:p>
            <w:pPr>
              <w:pStyle w:val="Compact"/>
              <w:jc w:val="left"/>
            </w:pPr>
            <w:r>
              <w:t xml:space="preserve">No — templates provided and flagged</w:t>
            </w:r>
          </w:p>
        </w:tc>
      </w:tr>
      <w:tr>
        <w:tc>
          <w:tcPr/>
          <w:p>
            <w:pPr>
              <w:pStyle w:val="Compact"/>
              <w:jc w:val="left"/>
            </w:pPr>
            <w:r>
              <w:t xml:space="preserve">Missing evidence flagged</w:t>
            </w:r>
          </w:p>
        </w:tc>
        <w:tc>
          <w:tcPr/>
          <w:p>
            <w:pPr>
              <w:pStyle w:val="Compact"/>
              <w:jc w:val="left"/>
            </w:pPr>
            <w:r>
              <w:t xml:space="preserve">Yes — see pending-evidence checklist</w:t>
            </w:r>
          </w:p>
        </w:tc>
      </w:tr>
    </w:tbl>
    <w:bookmarkEnd w:id="127"/>
    <w:bookmarkStart w:id="128" w:name="submission-checklist-physical-copy"/>
    <w:p>
      <w:pPr>
        <w:pStyle w:val="Heading1"/>
      </w:pPr>
      <w:r>
        <w:t xml:space="preserve">Submission checklist (physical copy)</w:t>
      </w:r>
    </w:p>
    <w:p>
      <w:pPr>
        <w:numPr>
          <w:ilvl w:val="0"/>
          <w:numId w:val="1011"/>
        </w:numPr>
        <w:pStyle w:val="Compact"/>
      </w:pPr>
      <w:r>
        <w:t xml:space="preserve">Print single-sided on A4, colour if possible (status labels are colour-coded but also written in words).</w:t>
      </w:r>
    </w:p>
    <w:p>
      <w:pPr>
        <w:numPr>
          <w:ilvl w:val="0"/>
          <w:numId w:val="1011"/>
        </w:numPr>
        <w:pStyle w:val="Compact"/>
      </w:pPr>
      <w:r>
        <w:t xml:space="preserve">Fill every date field and sign/initial each sheet.</w:t>
      </w:r>
    </w:p>
    <w:p>
      <w:pPr>
        <w:numPr>
          <w:ilvl w:val="0"/>
          <w:numId w:val="1011"/>
        </w:numPr>
        <w:pStyle w:val="Compact"/>
      </w:pPr>
      <w:r>
        <w:t xml:space="preserve">Complete the pending items you have evidence for; leave the rest visibly marked pending.</w:t>
      </w:r>
    </w:p>
    <w:p>
      <w:pPr>
        <w:numPr>
          <w:ilvl w:val="0"/>
          <w:numId w:val="1011"/>
        </w:numPr>
        <w:pStyle w:val="Compact"/>
      </w:pPr>
      <w:r>
        <w:t xml:space="preserve">Attach evidence behind the matching sheet: interview notes, price-test responses, receipts/preorder proof, campaign screenshots, mock-interview notes.</w:t>
      </w:r>
    </w:p>
    <w:p>
      <w:pPr>
        <w:numPr>
          <w:ilvl w:val="0"/>
          <w:numId w:val="1011"/>
        </w:numPr>
        <w:pStyle w:val="Compact"/>
      </w:pPr>
      <w:r>
        <w:t xml:space="preserve">Order: cover → contents → M1.1 … M5.3 → references → evidence appendix → inconsistencies → this checklist.</w:t>
      </w:r>
    </w:p>
    <w:p>
      <w:pPr>
        <w:numPr>
          <w:ilvl w:val="0"/>
          <w:numId w:val="1011"/>
        </w:numPr>
        <w:pStyle w:val="Compact"/>
      </w:pPr>
      <w:r>
        <w:t xml:space="preserve">Bind with a clear cover; add tabs for Modules 1–5 so pages can be opened quickly in the viva.</w:t>
      </w:r>
    </w:p>
    <w:p>
      <w:pPr>
        <w:numPr>
          <w:ilvl w:val="0"/>
          <w:numId w:val="1011"/>
        </w:numPr>
        <w:pStyle w:val="Compact"/>
      </w:pPr>
      <w:r>
        <w:t xml:space="preserve">Bring the deck on a USB drive and the website link as backup.</w:t>
      </w:r>
    </w:p>
    <w:p>
      <w:pPr>
        <w:numPr>
          <w:ilvl w:val="0"/>
          <w:numId w:val="1011"/>
        </w:numPr>
        <w:pStyle w:val="Compact"/>
      </w:pPr>
      <w:r>
        <w:t xml:space="preserve">Before the viva, re-read M1.2 (TAM/SAM/SOM), M3.2 (runway, zero-cash date) and M4.3 (valuation arithmetic).</w:t>
      </w:r>
    </w:p>
    <w:bookmarkEnd w:id="128"/>
    <w:bookmarkEnd w:id="1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AVERRA Practical Portfolio</dc:title>
  <dc:creator/>
  <cp:keywords/>
  <dcterms:created xsi:type="dcterms:W3CDTF">2026-10-16T09:07:39Z</dcterms:created>
  <dcterms:modified xsi:type="dcterms:W3CDTF">2026-10-16T09:07:39Z</dcterms:modified>
</cp:coreProperties>
</file>

<file path=docProps/custom.xml><?xml version="1.0" encoding="utf-8"?>
<Properties xmlns="http://schemas.openxmlformats.org/officeDocument/2006/custom-properties" xmlns:vt="http://schemas.openxmlformats.org/officeDocument/2006/docPropsVTypes"/>
</file>