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AVERRA</w:t>
      </w:r>
      <w:r>
        <w:t xml:space="preserve"> </w:t>
      </w:r>
      <w:r>
        <w:t xml:space="preserve">Practical</w:t>
      </w:r>
      <w:r>
        <w:t xml:space="preserve"> </w:t>
      </w:r>
      <w:r>
        <w:t xml:space="preserve">Portfolio</w:t>
      </w:r>
    </w:p>
    <w:p>
      <w:pPr>
        <w:pStyle w:val="FirstParagraph"/>
      </w:pPr>
      <w:r>
        <w:t xml:space="preserve">AVERRA — Biomedical Technology</w:t>
      </w:r>
    </w:p>
    <w:bookmarkStart w:id="20" w:name="practical-portfolio"/>
    <w:p>
      <w:pPr>
        <w:pStyle w:val="Heading1"/>
      </w:pPr>
      <w:r>
        <w:t xml:space="preserve">Practical Portfolio</w:t>
      </w:r>
    </w:p>
    <w:p>
      <w:pPr>
        <w:pStyle w:val="FirstParagraph"/>
      </w:pPr>
      <w:r>
        <w:t xml:space="preserve">Engineering better movement intelligence.</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Course</w:t>
            </w:r>
          </w:p>
        </w:tc>
        <w:tc>
          <w:tcPr/>
          <w:p>
            <w:pPr>
              <w:pStyle w:val="Compact"/>
              <w:jc w:val="left"/>
            </w:pPr>
            <w:r>
              <w:t xml:space="preserve">Entrepreneurship for Engineers (SEC-ENT-301), VJTI Mumbai</w:t>
            </w:r>
          </w:p>
        </w:tc>
      </w:tr>
      <w:tr>
        <w:tc>
          <w:tcPr/>
          <w:p>
            <w:pPr>
              <w:pStyle w:val="Compact"/>
              <w:jc w:val="left"/>
            </w:pPr>
            <w:r>
              <w:t xml:space="preserve">Faculty</w:t>
            </w:r>
          </w:p>
        </w:tc>
        <w:tc>
          <w:tcPr/>
          <w:p>
            <w:pPr>
              <w:pStyle w:val="Compact"/>
              <w:jc w:val="left"/>
            </w:pPr>
            <w:r>
              <w:t xml:space="preserve">Krupali Prakashkumar Nakar</w:t>
            </w:r>
          </w:p>
        </w:tc>
      </w:tr>
      <w:tr>
        <w:tc>
          <w:tcPr/>
          <w:p>
            <w:pPr>
              <w:pStyle w:val="Compact"/>
              <w:jc w:val="left"/>
            </w:pPr>
            <w:r>
              <w:t xml:space="preserve">Founders</w:t>
            </w:r>
          </w:p>
        </w:tc>
        <w:tc>
          <w:tcPr/>
          <w:p>
            <w:pPr>
              <w:pStyle w:val="Compact"/>
              <w:jc w:val="left"/>
            </w:pPr>
            <w:r>
              <w:t xml:space="preserve">Pranshu Kumar · Pawan Shinde</w:t>
            </w:r>
          </w:p>
        </w:tc>
      </w:tr>
      <w:tr>
        <w:tc>
          <w:tcPr/>
          <w:p>
            <w:pPr>
              <w:pStyle w:val="Compact"/>
              <w:jc w:val="left"/>
            </w:pPr>
            <w:r>
              <w:t xml:space="preserve">Products</w:t>
            </w:r>
          </w:p>
        </w:tc>
        <w:tc>
          <w:tcPr/>
          <w:p>
            <w:pPr>
              <w:pStyle w:val="Compact"/>
              <w:jc w:val="left"/>
            </w:pPr>
            <w:r>
              <w:t xml:space="preserve">ParkinSense (wearable wellness and movement intelligence) · TremoSense (assistive active-stabilisation spoon)</w:t>
            </w:r>
          </w:p>
        </w:tc>
      </w:tr>
      <w:tr>
        <w:tc>
          <w:tcPr/>
          <w:p>
            <w:pPr>
              <w:pStyle w:val="Compact"/>
              <w:jc w:val="left"/>
            </w:pPr>
            <w:r>
              <w:t xml:space="preserve">Contents</w:t>
            </w:r>
          </w:p>
        </w:tc>
        <w:tc>
          <w:tcPr/>
          <w:p>
            <w:pPr>
              <w:pStyle w:val="Compact"/>
              <w:jc w:val="left"/>
            </w:pPr>
            <w:r>
              <w:t xml:space="preserve">15 mandatory models (M1.1–M5.3), references, evidence appendix, checklists</w:t>
            </w:r>
          </w:p>
        </w:tc>
      </w:tr>
      <w:tr>
        <w:tc>
          <w:tcPr/>
          <w:p>
            <w:pPr>
              <w:pStyle w:val="Compact"/>
              <w:jc w:val="left"/>
            </w:pPr>
            <w:r>
              <w:t xml:space="preserve">Submission date</w:t>
            </w:r>
          </w:p>
        </w:tc>
        <w:tc>
          <w:tcPr/>
          <w:p>
            <w:pPr>
              <w:pStyle w:val="Compact"/>
              <w:jc w:val="left"/>
            </w:pPr>
            <w:r>
              <w:t xml:space="preserve">16 Oct 2026</w:t>
            </w:r>
          </w:p>
        </w:tc>
      </w:tr>
    </w:tbl>
    <w:p>
      <w:pPr>
        <w:pStyle w:val="BodyText"/>
      </w:pPr>
      <w:r>
        <w:t xml:space="preserve">Evidence labels used throughout:</w:t>
      </w:r>
      <w:r>
        <w:t xml:space="preserve"> </w:t>
      </w:r>
      <w:r>
        <w:rPr>
          <w:bCs/>
          <w:b/>
        </w:rPr>
        <w:t xml:space="preserve">Sourced</w:t>
      </w:r>
      <w:r>
        <w:t xml:space="preserve"> </w:t>
      </w:r>
      <w:r>
        <w:t xml:space="preserve">(published or official figure, cited),</w:t>
      </w:r>
      <w:r>
        <w:t xml:space="preserve"> </w:t>
      </w:r>
      <w:r>
        <w:rPr>
          <w:bCs/>
          <w:b/>
        </w:rPr>
        <w:t xml:space="preserve">Model</w:t>
      </w:r>
      <w:r>
        <w:t xml:space="preserve"> </w:t>
      </w:r>
      <w:r>
        <w:t xml:space="preserve">(from the AVERRA financial model),</w:t>
      </w:r>
      <w:r>
        <w:t xml:space="preserve"> </w:t>
      </w:r>
      <w:r>
        <w:rPr>
          <w:bCs/>
          <w:b/>
        </w:rPr>
        <w:t xml:space="preserve">Estimate</w:t>
      </w:r>
      <w:r>
        <w:t xml:space="preserve"> </w:t>
      </w:r>
      <w:r>
        <w:t xml:space="preserve">(founders' planning assumption) and</w:t>
      </w:r>
      <w:r>
        <w:t xml:space="preserve"> </w:t>
      </w:r>
      <w:r>
        <w:rPr>
          <w:bCs/>
          <w:b/>
        </w:rPr>
        <w:t xml:space="preserve">Simulated</w:t>
      </w:r>
      <w:r>
        <w:t xml:space="preserve"> </w:t>
      </w:r>
      <w:r>
        <w:t xml:space="preserve">(semester case-study data used to complete an activity where real data is still being collected; to be replaced with real records).</w:t>
      </w:r>
    </w:p>
    <w:bookmarkEnd w:id="20"/>
    <w:bookmarkStart w:id="22" w:name="TOC"/>
    <w:bookmarkStart w:id="21" w:name="contents"/>
    <w:p>
      <w:pPr>
        <w:pStyle w:val="Heading1"/>
      </w:pPr>
      <w:r>
        <w:t xml:space="preserve">Contents</w:t>
      </w:r>
    </w:p>
    <w:p>
      <w:pPr>
        <w:pStyle w:val="FirstParagraph"/>
      </w:pPr>
      <w:r>
        <w:t xml:space="preserve">Portfolio order follows the course instructions: Module 1 → 5, then references and checklists. Preparation note: drafting and formatting were AI-assisted; analysis, figures and decisions were checked by the founders.</w:t>
      </w:r>
    </w:p>
    <w:tbl>
      <w:tblPr>
        <w:tblStyle w:val="Table"/>
        <w:tblW w:type="pct" w:w="5000"/>
        <w:tblLook w:firstRow="0" w:lastRow="0" w:firstColumn="0" w:lastColumn="0" w:noHBand="0" w:noVBand="0" w:val="0000"/>
        <w:jc w:val="start"/>
      </w:tblPr>
      <w:tblGrid>
        <w:gridCol w:w="792"/>
        <w:gridCol w:w="6336"/>
        <w:gridCol w:w="792"/>
      </w:tblGrid>
      <w:tr>
        <w:tc>
          <w:tcPr>
            <w:gridSpan w:val="3"/>
          </w:tcPr>
          <w:p>
            <w:pPr>
              <w:pStyle w:val="Compact"/>
              <w:jc w:val="left"/>
            </w:pPr>
            <w:r>
              <w:t xml:space="preserve">Module 1 – Mindset &amp; Opportunity Discovery</w:t>
            </w:r>
          </w:p>
        </w:tc>
      </w:tr>
      <w:tr>
        <w:tc>
          <w:tcPr/>
          <w:p>
            <w:pPr>
              <w:pStyle w:val="Compact"/>
              <w:jc w:val="left"/>
            </w:pPr>
            <w:r>
              <w:t xml:space="preserve">M1.1</w:t>
            </w:r>
          </w:p>
        </w:tc>
        <w:tc>
          <w:tcPr/>
          <w:p>
            <w:pPr>
              <w:pStyle w:val="Compact"/>
              <w:jc w:val="left"/>
            </w:pPr>
            <w:r>
              <w:t xml:space="preserve">Customer-Discovery Evidence Pack</w:t>
            </w:r>
          </w:p>
        </w:tc>
        <w:tc>
          <w:tcPr/>
          <w:p>
            <w:pPr>
              <w:pStyle w:val="Compact"/>
              <w:jc w:val="left"/>
            </w:pPr>
            <w:r>
              <w:t xml:space="preserve">3</w:t>
            </w:r>
          </w:p>
        </w:tc>
      </w:tr>
      <w:tr>
        <w:tc>
          <w:tcPr/>
          <w:p>
            <w:pPr>
              <w:pStyle w:val="Compact"/>
              <w:jc w:val="left"/>
            </w:pPr>
            <w:r>
              <w:t xml:space="preserve">M1.2</w:t>
            </w:r>
          </w:p>
        </w:tc>
        <w:tc>
          <w:tcPr/>
          <w:p>
            <w:pPr>
              <w:pStyle w:val="Compact"/>
              <w:jc w:val="left"/>
            </w:pPr>
            <w:r>
              <w:t xml:space="preserve">Opportunity Scorecard &amp; “Why Now?” Memo</w:t>
            </w:r>
          </w:p>
        </w:tc>
        <w:tc>
          <w:tcPr/>
          <w:p>
            <w:pPr>
              <w:pStyle w:val="Compact"/>
              <w:jc w:val="left"/>
            </w:pPr>
            <w:r>
              <w:t xml:space="preserve">5</w:t>
            </w:r>
          </w:p>
        </w:tc>
      </w:tr>
      <w:tr>
        <w:tc>
          <w:tcPr/>
          <w:p>
            <w:pPr>
              <w:pStyle w:val="Compact"/>
              <w:jc w:val="left"/>
            </w:pPr>
            <w:r>
              <w:t xml:space="preserve">M1.3</w:t>
            </w:r>
          </w:p>
        </w:tc>
        <w:tc>
          <w:tcPr/>
          <w:p>
            <w:pPr>
              <w:pStyle w:val="Compact"/>
              <w:jc w:val="left"/>
            </w:pPr>
            <w:r>
              <w:t xml:space="preserve">Venture Money-Model &amp; First-Budget Pack</w:t>
            </w:r>
          </w:p>
        </w:tc>
        <w:tc>
          <w:tcPr/>
          <w:p>
            <w:pPr>
              <w:pStyle w:val="Compact"/>
              <w:jc w:val="left"/>
            </w:pPr>
            <w:r>
              <w:t xml:space="preserve">7</w:t>
            </w:r>
          </w:p>
        </w:tc>
      </w:tr>
      <w:tr>
        <w:tc>
          <w:tcPr>
            <w:gridSpan w:val="3"/>
          </w:tcPr>
          <w:p>
            <w:pPr>
              <w:pStyle w:val="Compact"/>
              <w:jc w:val="left"/>
            </w:pPr>
            <w:r>
              <w:t xml:space="preserve">Module 2 – Business Model, MVP &amp; First Sale</w:t>
            </w:r>
          </w:p>
        </w:tc>
      </w:tr>
      <w:tr>
        <w:tc>
          <w:tcPr/>
          <w:p>
            <w:pPr>
              <w:pStyle w:val="Compact"/>
              <w:jc w:val="left"/>
            </w:pPr>
            <w:r>
              <w:t xml:space="preserve">M2.1</w:t>
            </w:r>
          </w:p>
        </w:tc>
        <w:tc>
          <w:tcPr/>
          <w:p>
            <w:pPr>
              <w:pStyle w:val="Compact"/>
              <w:jc w:val="left"/>
            </w:pPr>
            <w:r>
              <w:t xml:space="preserve">Evidence-Backed Business Model Canvas + Value Proposition Canvas</w:t>
            </w:r>
          </w:p>
        </w:tc>
        <w:tc>
          <w:tcPr/>
          <w:p>
            <w:pPr>
              <w:pStyle w:val="Compact"/>
              <w:jc w:val="left"/>
            </w:pPr>
            <w:r>
              <w:t xml:space="preserve">9</w:t>
            </w:r>
          </w:p>
        </w:tc>
      </w:tr>
      <w:tr>
        <w:tc>
          <w:tcPr/>
          <w:p>
            <w:pPr>
              <w:pStyle w:val="Compact"/>
              <w:jc w:val="left"/>
            </w:pPr>
            <w:r>
              <w:t xml:space="preserve">M2.2</w:t>
            </w:r>
          </w:p>
        </w:tc>
        <w:tc>
          <w:tcPr/>
          <w:p>
            <w:pPr>
              <w:pStyle w:val="Compact"/>
              <w:jc w:val="left"/>
            </w:pPr>
            <w:r>
              <w:t xml:space="preserve">MVP Validation Experiment &amp; Decision</w:t>
            </w:r>
          </w:p>
        </w:tc>
        <w:tc>
          <w:tcPr/>
          <w:p>
            <w:pPr>
              <w:pStyle w:val="Compact"/>
              <w:jc w:val="left"/>
            </w:pPr>
            <w:r>
              <w:t xml:space="preserve">11</w:t>
            </w:r>
          </w:p>
        </w:tc>
      </w:tr>
      <w:tr>
        <w:tc>
          <w:tcPr/>
          <w:p>
            <w:pPr>
              <w:pStyle w:val="Compact"/>
              <w:jc w:val="left"/>
            </w:pPr>
            <w:r>
              <w:t xml:space="preserve">M2.3</w:t>
            </w:r>
          </w:p>
        </w:tc>
        <w:tc>
          <w:tcPr/>
          <w:p>
            <w:pPr>
              <w:pStyle w:val="Compact"/>
              <w:jc w:val="left"/>
            </w:pPr>
            <w:r>
              <w:t xml:space="preserve">Pricing, Margin &amp; Funnel Performance Pack</w:t>
            </w:r>
          </w:p>
        </w:tc>
        <w:tc>
          <w:tcPr/>
          <w:p>
            <w:pPr>
              <w:pStyle w:val="Compact"/>
              <w:jc w:val="left"/>
            </w:pPr>
            <w:r>
              <w:t xml:space="preserve">12</w:t>
            </w:r>
          </w:p>
        </w:tc>
      </w:tr>
      <w:tr>
        <w:tc>
          <w:tcPr>
            <w:gridSpan w:val="3"/>
          </w:tcPr>
          <w:p>
            <w:pPr>
              <w:pStyle w:val="Compact"/>
              <w:jc w:val="left"/>
            </w:pPr>
            <w:r>
              <w:t xml:space="preserve">Module 3 – Operations, Finance &amp; Compliance</w:t>
            </w:r>
          </w:p>
        </w:tc>
      </w:tr>
      <w:tr>
        <w:tc>
          <w:tcPr/>
          <w:p>
            <w:pPr>
              <w:pStyle w:val="Compact"/>
              <w:jc w:val="left"/>
            </w:pPr>
            <w:r>
              <w:t xml:space="preserve">M3.1</w:t>
            </w:r>
          </w:p>
        </w:tc>
        <w:tc>
          <w:tcPr/>
          <w:p>
            <w:pPr>
              <w:pStyle w:val="Compact"/>
              <w:jc w:val="left"/>
            </w:pPr>
            <w:r>
              <w:t xml:space="preserve">Operating System &amp; Delivery-Process Blueprint</w:t>
            </w:r>
          </w:p>
        </w:tc>
        <w:tc>
          <w:tcPr/>
          <w:p>
            <w:pPr>
              <w:pStyle w:val="Compact"/>
              <w:jc w:val="left"/>
            </w:pPr>
            <w:r>
              <w:t xml:space="preserve">14</w:t>
            </w:r>
          </w:p>
        </w:tc>
      </w:tr>
      <w:tr>
        <w:tc>
          <w:tcPr/>
          <w:p>
            <w:pPr>
              <w:pStyle w:val="Compact"/>
              <w:jc w:val="left"/>
            </w:pPr>
            <w:r>
              <w:t xml:space="preserve">M3.2</w:t>
            </w:r>
          </w:p>
        </w:tc>
        <w:tc>
          <w:tcPr/>
          <w:p>
            <w:pPr>
              <w:pStyle w:val="Compact"/>
              <w:jc w:val="left"/>
            </w:pPr>
            <w:r>
              <w:t xml:space="preserve">Unit-Economics &amp; Runway Model</w:t>
            </w:r>
          </w:p>
        </w:tc>
        <w:tc>
          <w:tcPr/>
          <w:p>
            <w:pPr>
              <w:pStyle w:val="Compact"/>
              <w:jc w:val="left"/>
            </w:pPr>
            <w:r>
              <w:t xml:space="preserve">16</w:t>
            </w:r>
          </w:p>
        </w:tc>
      </w:tr>
      <w:tr>
        <w:tc>
          <w:tcPr/>
          <w:p>
            <w:pPr>
              <w:pStyle w:val="Compact"/>
              <w:jc w:val="left"/>
            </w:pPr>
            <w:r>
              <w:t xml:space="preserve">M3.3</w:t>
            </w:r>
          </w:p>
        </w:tc>
        <w:tc>
          <w:tcPr/>
          <w:p>
            <w:pPr>
              <w:pStyle w:val="Compact"/>
              <w:jc w:val="left"/>
            </w:pPr>
            <w:r>
              <w:t xml:space="preserve">Legal-Structure, GST &amp; Compliance Blueprint</w:t>
            </w:r>
          </w:p>
        </w:tc>
        <w:tc>
          <w:tcPr/>
          <w:p>
            <w:pPr>
              <w:pStyle w:val="Compact"/>
              <w:jc w:val="left"/>
            </w:pPr>
            <w:r>
              <w:t xml:space="preserve">18</w:t>
            </w:r>
          </w:p>
        </w:tc>
      </w:tr>
      <w:tr>
        <w:tc>
          <w:tcPr>
            <w:gridSpan w:val="3"/>
          </w:tcPr>
          <w:p>
            <w:pPr>
              <w:pStyle w:val="Compact"/>
              <w:jc w:val="left"/>
            </w:pPr>
            <w:r>
              <w:t xml:space="preserve">Module 4 – Scaling: Team, Growth &amp; Fundraising</w:t>
            </w:r>
          </w:p>
        </w:tc>
      </w:tr>
      <w:tr>
        <w:tc>
          <w:tcPr/>
          <w:p>
            <w:pPr>
              <w:pStyle w:val="Compact"/>
              <w:jc w:val="left"/>
            </w:pPr>
            <w:r>
              <w:t xml:space="preserve">M4.1</w:t>
            </w:r>
          </w:p>
        </w:tc>
        <w:tc>
          <w:tcPr/>
          <w:p>
            <w:pPr>
              <w:pStyle w:val="Compact"/>
              <w:jc w:val="left"/>
            </w:pPr>
            <w:r>
              <w:t xml:space="preserve">Team &amp; Incentive Blueprint</w:t>
            </w:r>
          </w:p>
        </w:tc>
        <w:tc>
          <w:tcPr/>
          <w:p>
            <w:pPr>
              <w:pStyle w:val="Compact"/>
              <w:jc w:val="left"/>
            </w:pPr>
            <w:r>
              <w:t xml:space="preserve">20</w:t>
            </w:r>
          </w:p>
        </w:tc>
      </w:tr>
      <w:tr>
        <w:tc>
          <w:tcPr/>
          <w:p>
            <w:pPr>
              <w:pStyle w:val="Compact"/>
              <w:jc w:val="left"/>
            </w:pPr>
            <w:r>
              <w:t xml:space="preserve">M4.2</w:t>
            </w:r>
          </w:p>
        </w:tc>
        <w:tc>
          <w:tcPr/>
          <w:p>
            <w:pPr>
              <w:pStyle w:val="Compact"/>
              <w:jc w:val="left"/>
            </w:pPr>
            <w:r>
              <w:t xml:space="preserve">Growth-Engine Dashboard</w:t>
            </w:r>
          </w:p>
        </w:tc>
        <w:tc>
          <w:tcPr/>
          <w:p>
            <w:pPr>
              <w:pStyle w:val="Compact"/>
              <w:jc w:val="left"/>
            </w:pPr>
            <w:r>
              <w:t xml:space="preserve">22</w:t>
            </w:r>
          </w:p>
        </w:tc>
      </w:tr>
      <w:tr>
        <w:tc>
          <w:tcPr/>
          <w:p>
            <w:pPr>
              <w:pStyle w:val="Compact"/>
              <w:jc w:val="left"/>
            </w:pPr>
            <w:r>
              <w:t xml:space="preserve">M4.3</w:t>
            </w:r>
          </w:p>
        </w:tc>
        <w:tc>
          <w:tcPr/>
          <w:p>
            <w:pPr>
              <w:pStyle w:val="Compact"/>
              <w:jc w:val="left"/>
            </w:pPr>
            <w:r>
              <w:t xml:space="preserve">Fundraising Model, Cap Table &amp; Investor Pitch</w:t>
            </w:r>
          </w:p>
        </w:tc>
        <w:tc>
          <w:tcPr/>
          <w:p>
            <w:pPr>
              <w:pStyle w:val="Compact"/>
              <w:jc w:val="left"/>
            </w:pPr>
            <w:r>
              <w:t xml:space="preserve">23</w:t>
            </w:r>
          </w:p>
        </w:tc>
      </w:tr>
      <w:tr>
        <w:tc>
          <w:tcPr>
            <w:gridSpan w:val="3"/>
          </w:tcPr>
          <w:p>
            <w:pPr>
              <w:pStyle w:val="Compact"/>
              <w:jc w:val="left"/>
            </w:pPr>
            <w:r>
              <w:t xml:space="preserve">Module 5 – Venture Launch &amp; Sustainable Enterprise</w:t>
            </w:r>
          </w:p>
        </w:tc>
      </w:tr>
      <w:tr>
        <w:tc>
          <w:tcPr/>
          <w:p>
            <w:pPr>
              <w:pStyle w:val="Compact"/>
              <w:jc w:val="left"/>
            </w:pPr>
            <w:r>
              <w:t xml:space="preserve">M5.1</w:t>
            </w:r>
          </w:p>
        </w:tc>
        <w:tc>
          <w:tcPr/>
          <w:p>
            <w:pPr>
              <w:pStyle w:val="Compact"/>
              <w:jc w:val="left"/>
            </w:pPr>
            <w:r>
              <w:t xml:space="preserve">Sustainable &amp; Ethical Enterprise Blueprint</w:t>
            </w:r>
          </w:p>
        </w:tc>
        <w:tc>
          <w:tcPr/>
          <w:p>
            <w:pPr>
              <w:pStyle w:val="Compact"/>
              <w:jc w:val="left"/>
            </w:pPr>
            <w:r>
              <w:t xml:space="preserve">25</w:t>
            </w:r>
          </w:p>
        </w:tc>
      </w:tr>
      <w:tr>
        <w:tc>
          <w:tcPr/>
          <w:p>
            <w:pPr>
              <w:pStyle w:val="Compact"/>
              <w:jc w:val="left"/>
            </w:pPr>
            <w:r>
              <w:t xml:space="preserve">M5.2</w:t>
            </w:r>
          </w:p>
        </w:tc>
        <w:tc>
          <w:tcPr/>
          <w:p>
            <w:pPr>
              <w:pStyle w:val="Compact"/>
              <w:jc w:val="left"/>
            </w:pPr>
            <w:r>
              <w:t xml:space="preserve">Live Launch &amp; Iteration Report</w:t>
            </w:r>
          </w:p>
        </w:tc>
        <w:tc>
          <w:tcPr/>
          <w:p>
            <w:pPr>
              <w:pStyle w:val="Compact"/>
              <w:jc w:val="left"/>
            </w:pPr>
            <w:r>
              <w:t xml:space="preserve">26</w:t>
            </w:r>
          </w:p>
        </w:tc>
      </w:tr>
      <w:tr>
        <w:tc>
          <w:tcPr/>
          <w:p>
            <w:pPr>
              <w:pStyle w:val="Compact"/>
              <w:jc w:val="left"/>
            </w:pPr>
            <w:r>
              <w:t xml:space="preserve">M5.3</w:t>
            </w:r>
          </w:p>
        </w:tc>
        <w:tc>
          <w:tcPr/>
          <w:p>
            <w:pPr>
              <w:pStyle w:val="Compact"/>
              <w:jc w:val="left"/>
            </w:pPr>
            <w:r>
              <w:t xml:space="preserve">Full Venture Launch &amp; Fundraising Package</w:t>
            </w:r>
          </w:p>
        </w:tc>
        <w:tc>
          <w:tcPr/>
          <w:p>
            <w:pPr>
              <w:pStyle w:val="Compact"/>
              <w:jc w:val="left"/>
            </w:pPr>
            <w:r>
              <w:t xml:space="preserve">28</w:t>
            </w:r>
          </w:p>
        </w:tc>
      </w:tr>
      <w:tr>
        <w:tc>
          <w:tcPr/>
          <w:p>
            <w:pPr>
              <w:pStyle w:val="Compact"/>
            </w:pPr>
          </w:p>
        </w:tc>
        <w:tc>
          <w:tcPr/>
          <w:p>
            <w:pPr>
              <w:pStyle w:val="Compact"/>
              <w:jc w:val="left"/>
            </w:pPr>
            <w:r>
              <w:t xml:space="preserve">References</w:t>
            </w:r>
          </w:p>
        </w:tc>
        <w:tc>
          <w:tcPr/>
          <w:p>
            <w:pPr>
              <w:pStyle w:val="Compact"/>
              <w:jc w:val="left"/>
            </w:pPr>
            <w:r>
              <w:t xml:space="preserve">30</w:t>
            </w:r>
          </w:p>
        </w:tc>
      </w:tr>
      <w:tr>
        <w:tc>
          <w:tcPr/>
          <w:p>
            <w:pPr>
              <w:pStyle w:val="Compact"/>
            </w:pPr>
          </w:p>
        </w:tc>
        <w:tc>
          <w:tcPr/>
          <w:p>
            <w:pPr>
              <w:pStyle w:val="Compact"/>
              <w:jc w:val="left"/>
            </w:pPr>
            <w:r>
              <w:t xml:space="preserve">Evidence appendix and real-evidence checklist</w:t>
            </w:r>
          </w:p>
        </w:tc>
        <w:tc>
          <w:tcPr/>
          <w:p>
            <w:pPr>
              <w:pStyle w:val="Compact"/>
              <w:jc w:val="left"/>
            </w:pPr>
            <w:r>
              <w:t xml:space="preserve">32</w:t>
            </w:r>
          </w:p>
        </w:tc>
      </w:tr>
      <w:tr>
        <w:tc>
          <w:tcPr/>
          <w:p>
            <w:pPr>
              <w:pStyle w:val="Compact"/>
            </w:pPr>
          </w:p>
        </w:tc>
        <w:tc>
          <w:tcPr/>
          <w:p>
            <w:pPr>
              <w:pStyle w:val="Compact"/>
              <w:jc w:val="left"/>
            </w:pPr>
            <w:r>
              <w:t xml:space="preserve">Consistency review</w:t>
            </w:r>
          </w:p>
        </w:tc>
        <w:tc>
          <w:tcPr/>
          <w:p>
            <w:pPr>
              <w:pStyle w:val="Compact"/>
              <w:jc w:val="left"/>
            </w:pPr>
            <w:r>
              <w:t xml:space="preserve">33</w:t>
            </w:r>
          </w:p>
        </w:tc>
      </w:tr>
      <w:tr>
        <w:tc>
          <w:tcPr/>
          <w:p>
            <w:pPr>
              <w:pStyle w:val="Compact"/>
            </w:pPr>
          </w:p>
        </w:tc>
        <w:tc>
          <w:tcPr/>
          <w:p>
            <w:pPr>
              <w:pStyle w:val="Compact"/>
              <w:jc w:val="left"/>
            </w:pPr>
            <w:r>
              <w:t xml:space="preserve">Final completeness checklist and submission checklist</w:t>
            </w:r>
          </w:p>
        </w:tc>
        <w:tc>
          <w:tcPr/>
          <w:p>
            <w:pPr>
              <w:pStyle w:val="Compact"/>
              <w:jc w:val="left"/>
            </w:pPr>
            <w:r>
              <w:t xml:space="preserve">34</w:t>
            </w:r>
          </w:p>
        </w:tc>
      </w:tr>
    </w:tbl>
    <w:bookmarkEnd w:id="21"/>
    <w:bookmarkEnd w:id="22"/>
    <w:bookmarkStart w:id="30" w:name="M1.1"/>
    <w:p>
      <w:pPr>
        <w:pStyle w:val="BodyText"/>
      </w:pPr>
      <w:r>
        <w:t xml:space="preserve">M1 · Activity 1 · Mandatory Model M1.1</w:t>
      </w:r>
    </w:p>
    <w:bookmarkStart w:id="23" w:name="customer-discovery-evidence-pack"/>
    <w:p>
      <w:pPr>
        <w:pStyle w:val="Heading1"/>
      </w:pPr>
      <w:r>
        <w:t xml:space="preserve">Customer-Discovery Evidence Pack</w:t>
      </w:r>
    </w:p>
    <w:tbl>
      <w:tblPr>
        <w:tblStyle w:val="Table"/>
        <w:tblW w:type="auto" w:w="0"/>
        <w:tblLook w:firstRow="0" w:lastRow="0" w:firstColumn="0" w:lastColumn="0" w:noHBand="0" w:noVBand="0" w:val="0000"/>
        <w:jc w:val="start"/>
      </w:tblPr>
      <w:tblGrid>
        <w:gridCol w:w="1980"/>
        <w:gridCol w:w="1980"/>
        <w:gridCol w:w="1980"/>
        <w:gridCol w:w="1980"/>
      </w:tblGrid>
      <w:tr>
        <w:tc>
          <w:tcPr/>
          <w:p>
            <w:pPr>
              <w:pStyle w:val="Compact"/>
              <w:jc w:val="left"/>
            </w:pPr>
            <w:r>
              <w:rPr>
                <w:bCs/>
                <w:b/>
              </w:rPr>
              <w:t xml:space="preserve">Module</w:t>
            </w:r>
            <w:r>
              <w:t xml:space="preserve"> </w:t>
            </w:r>
            <w:r>
              <w:t xml:space="preserve">1</w:t>
            </w:r>
          </w:p>
        </w:tc>
        <w:tc>
          <w:tcPr/>
          <w:p>
            <w:pPr>
              <w:pStyle w:val="Compact"/>
              <w:jc w:val="left"/>
            </w:pPr>
            <w:r>
              <w:rPr>
                <w:bCs/>
                <w:b/>
              </w:rPr>
              <w:t xml:space="preserve">Activity</w:t>
            </w:r>
            <w:r>
              <w:t xml:space="preserve"> </w:t>
            </w:r>
            <w:r>
              <w:t xml:space="preserve">1</w:t>
            </w:r>
          </w:p>
        </w:tc>
        <w:tc>
          <w:tcPr/>
          <w:p>
            <w:pPr>
              <w:pStyle w:val="Compact"/>
              <w:jc w:val="left"/>
            </w:pPr>
            <w:r>
              <w:rPr>
                <w:bCs/>
                <w:b/>
              </w:rPr>
              <w:t xml:space="preserve">Date completed</w:t>
            </w:r>
            <w:r>
              <w:t xml:space="preserve"> </w:t>
            </w:r>
            <w:r>
              <w:t xml:space="preserve">12 Aug 2026</w:t>
            </w:r>
          </w:p>
        </w:tc>
        <w:tc>
          <w:tcPr/>
          <w:p>
            <w:pPr>
              <w:pStyle w:val="Compact"/>
              <w:jc w:val="left"/>
            </w:pPr>
            <w:r>
              <w:rPr>
                <w:bCs/>
                <w:b/>
              </w:rPr>
              <w:t xml:space="preserve">Venture</w:t>
            </w:r>
            <w:r>
              <w:t xml:space="preserve"> </w:t>
            </w:r>
            <w:r>
              <w:t xml:space="preserve">AVERRA</w:t>
            </w:r>
          </w:p>
        </w:tc>
      </w:tr>
      <w:tr>
        <w:tc>
          <w:tcPr>
            <w:gridSpan w:val="4"/>
          </w:tcPr>
          <w:p>
            <w:pPr>
              <w:pStyle w:val="Compact"/>
              <w:jc w:val="left"/>
            </w:pPr>
            <w:r>
              <w:rPr>
                <w:bCs/>
                <w:b/>
              </w:rPr>
              <w:t xml:space="preserve">Evidence status:</w:t>
            </w:r>
            <w:r>
              <w:t xml:space="preserve"> </w:t>
            </w:r>
            <w:r>
              <w:t xml:space="preserve">Completed · simulated interview case study</w:t>
            </w:r>
          </w:p>
        </w:tc>
      </w:tr>
      <w:tr>
        <w:tc>
          <w:tcPr>
            <w:gridSpan w:val="4"/>
          </w:tcPr>
          <w:p>
            <w:pPr>
              <w:pStyle w:val="Compact"/>
              <w:jc w:val="left"/>
            </w:pPr>
            <w:r>
              <w:t xml:space="preserve">Data note: Interview records are a simulated, anonymised case study; the secondary evidence in section 5 is published and cited.</w:t>
            </w:r>
          </w:p>
        </w:tc>
      </w:tr>
    </w:tbl>
    <w:bookmarkEnd w:id="23"/>
    <w:bookmarkStart w:id="24" w:name="target-customer-and-problem-hypothesis"/>
    <w:p>
      <w:pPr>
        <w:pStyle w:val="Heading2"/>
      </w:pPr>
      <w:r>
        <w:t xml:space="preserve">1. Target customer and problem hypothesis</w:t>
      </w:r>
    </w:p>
    <w:p>
      <w:pPr>
        <w:pStyle w:val="FirstParagraph"/>
      </w:pPr>
      <w:r>
        <w:rPr>
          <w:bCs/>
          <w:b/>
        </w:rPr>
        <w:t xml:space="preserve">TremoSense:</w:t>
      </w:r>
      <w:r>
        <w:t xml:space="preserve"> </w:t>
      </w:r>
      <w:r>
        <w:t xml:space="preserve">Adults in urban India living with Parkinson's disease or essential tremor whose hand tremor makes eating difficult, and the family members who help them at meals, regularly lose independence and dignity at mealtimes and currently rely on help from others, adapted cutlery or avoiding certain foods.</w:t>
      </w:r>
    </w:p>
    <w:p>
      <w:pPr>
        <w:pStyle w:val="BodyText"/>
      </w:pPr>
      <w:r>
        <w:rPr>
          <w:bCs/>
          <w:b/>
        </w:rPr>
        <w:t xml:space="preserve">ParkinSense:</w:t>
      </w:r>
      <w:r>
        <w:t xml:space="preserve"> </w:t>
      </w:r>
      <w:r>
        <w:t xml:space="preserve">Wearable users, including people living with tremor and their families, want continuous insight into how they move between clinic visits, but today their movement is only observed for a few minutes during a consultation.</w:t>
      </w:r>
    </w:p>
    <w:bookmarkEnd w:id="24"/>
    <w:bookmarkStart w:id="25" w:name="X6dfa8dfad496bdd02560cdade169af4ae036fad"/>
    <w:p>
      <w:pPr>
        <w:pStyle w:val="Heading2"/>
      </w:pPr>
      <w:r>
        <w:t xml:space="preserve">2. Mom Test interview questions (past behaviour only)</w:t>
      </w:r>
    </w:p>
    <w:p>
      <w:pPr>
        <w:numPr>
          <w:ilvl w:val="0"/>
          <w:numId w:val="1001"/>
        </w:numPr>
        <w:pStyle w:val="Compact"/>
      </w:pPr>
      <w:r>
        <w:t xml:space="preserve">Tell me about the last meal where your (or your family member's) tremor made eating harder. What happened?</w:t>
      </w:r>
    </w:p>
    <w:p>
      <w:pPr>
        <w:numPr>
          <w:ilvl w:val="0"/>
          <w:numId w:val="1001"/>
        </w:numPr>
        <w:pStyle w:val="Compact"/>
      </w:pPr>
      <w:r>
        <w:t xml:space="preserve">What did you do about it at that meal? What do you usually do?</w:t>
      </w:r>
    </w:p>
    <w:p>
      <w:pPr>
        <w:numPr>
          <w:ilvl w:val="0"/>
          <w:numId w:val="1001"/>
        </w:numPr>
        <w:pStyle w:val="Compact"/>
      </w:pPr>
      <w:r>
        <w:t xml:space="preserve">What have you already tried for eating with tremor (spoons, weighted cutlery, help from someone, changing food)? How did that go?</w:t>
      </w:r>
    </w:p>
    <w:p>
      <w:pPr>
        <w:numPr>
          <w:ilvl w:val="0"/>
          <w:numId w:val="1001"/>
        </w:numPr>
        <w:pStyle w:val="Compact"/>
      </w:pPr>
      <w:r>
        <w:t xml:space="preserve">Have you spent money on anything to help with tremor or eating? What was it, roughly how much, and where did you hear about it?</w:t>
      </w:r>
    </w:p>
    <w:p>
      <w:pPr>
        <w:numPr>
          <w:ilvl w:val="0"/>
          <w:numId w:val="1001"/>
        </w:numPr>
        <w:pStyle w:val="Compact"/>
      </w:pPr>
      <w:r>
        <w:t xml:space="preserve">How often in the last week did tremor change what or where you ate?</w:t>
      </w:r>
    </w:p>
    <w:p>
      <w:pPr>
        <w:numPr>
          <w:ilvl w:val="0"/>
          <w:numId w:val="1001"/>
        </w:numPr>
        <w:pStyle w:val="Compact"/>
      </w:pPr>
      <w:r>
        <w:t xml:space="preserve">When did you last discuss tremor with a neurologist or therapist? What did they measure, and what happened next?</w:t>
      </w:r>
    </w:p>
    <w:p>
      <w:pPr>
        <w:numPr>
          <w:ilvl w:val="0"/>
          <w:numId w:val="1001"/>
        </w:numPr>
        <w:pStyle w:val="Compact"/>
      </w:pPr>
      <w:r>
        <w:t xml:space="preserve">Do you currently track symptoms, activity or sleep in any way (watch, app, diary)? Show me the last thing you recorded.</w:t>
      </w:r>
    </w:p>
    <w:p>
      <w:pPr>
        <w:numPr>
          <w:ilvl w:val="0"/>
          <w:numId w:val="1001"/>
        </w:numPr>
        <w:pStyle w:val="Compact"/>
      </w:pPr>
      <w:r>
        <w:t xml:space="preserve">Who else is involved when a decision about buying a health device is made in your home?</w:t>
      </w:r>
    </w:p>
    <w:p>
      <w:pPr>
        <w:pStyle w:val="FirstParagraph"/>
      </w:pPr>
      <w:r>
        <w:t xml:space="preserve">Rules followed: no pitching before the questions, no "would you buy", no leading questions; record exact words; ask for specifics (last time, how often, how much).</w:t>
      </w:r>
    </w:p>
    <w:bookmarkEnd w:id="25"/>
    <w:bookmarkStart w:id="26" w:name="Xb2c9c230fe19ce572d552f487f83b77c5e5cb52"/>
    <w:p>
      <w:pPr>
        <w:pStyle w:val="Heading2"/>
      </w:pPr>
      <w:r>
        <w:t xml:space="preserve">3. Interview evidence log (minimum 5 real interviews)</w:t>
      </w:r>
    </w:p>
    <w:tbl>
      <w:tblPr>
        <w:tblStyle w:val="Table"/>
        <w:tblW w:type="pct" w:w="5000"/>
        <w:tblLook w:firstRow="1" w:lastRow="0" w:firstColumn="0" w:lastColumn="0" w:noHBand="0" w:noVBand="0" w:val="0020"/>
        <w:jc w:val="start"/>
      </w:tblPr>
      <w:tblGrid>
        <w:gridCol w:w="316"/>
        <w:gridCol w:w="792"/>
        <w:gridCol w:w="1584"/>
        <w:gridCol w:w="3168"/>
        <w:gridCol w:w="2059"/>
      </w:tblGrid>
      <w:tr>
        <w:trPr>
          <w:tblHeader w:val="true"/>
        </w:trPr>
        <w:tc>
          <w:tcPr/>
          <w:p>
            <w:pPr>
              <w:pStyle w:val="Compact"/>
              <w:jc w:val="left"/>
            </w:pPr>
            <w:r>
              <w:t xml:space="preserve">#</w:t>
            </w:r>
          </w:p>
        </w:tc>
        <w:tc>
          <w:tcPr/>
          <w:p>
            <w:pPr>
              <w:pStyle w:val="Compact"/>
              <w:jc w:val="left"/>
            </w:pPr>
            <w:r>
              <w:t xml:space="preserve">Date</w:t>
            </w:r>
          </w:p>
        </w:tc>
        <w:tc>
          <w:tcPr/>
          <w:p>
            <w:pPr>
              <w:pStyle w:val="Compact"/>
              <w:jc w:val="left"/>
            </w:pPr>
            <w:r>
              <w:t xml:space="preserve">Respondent (anonymised)</w:t>
            </w:r>
          </w:p>
        </w:tc>
        <w:tc>
          <w:tcPr/>
          <w:p>
            <w:pPr>
              <w:pStyle w:val="Compact"/>
              <w:jc w:val="left"/>
            </w:pPr>
            <w:r>
              <w:t xml:space="preserve">Exact words (simulated)</w:t>
            </w:r>
          </w:p>
        </w:tc>
        <w:tc>
          <w:tcPr/>
          <w:p>
            <w:pPr>
              <w:pStyle w:val="Compact"/>
              <w:jc w:val="left"/>
            </w:pPr>
            <w:r>
              <w:t xml:space="preserve">Pain · frequency · workaround · spend</w:t>
            </w:r>
          </w:p>
        </w:tc>
      </w:tr>
      <w:tr>
        <w:tc>
          <w:tcPr/>
          <w:p>
            <w:pPr>
              <w:pStyle w:val="Compact"/>
              <w:jc w:val="left"/>
            </w:pPr>
            <w:r>
              <w:t xml:space="preserve">1</w:t>
            </w:r>
          </w:p>
        </w:tc>
        <w:tc>
          <w:tcPr/>
          <w:p>
            <w:pPr>
              <w:pStyle w:val="Compact"/>
              <w:jc w:val="left"/>
            </w:pPr>
            <w:r>
              <w:t xml:space="preserve">22 Aug 2026</w:t>
            </w:r>
          </w:p>
        </w:tc>
        <w:tc>
          <w:tcPr/>
          <w:p>
            <w:pPr>
              <w:pStyle w:val="Compact"/>
              <w:jc w:val="left"/>
            </w:pPr>
            <w:r>
              <w:t xml:space="preserve">Daughter, 52, caring for father with PD (Dadar)</w:t>
            </w:r>
          </w:p>
        </w:tc>
        <w:tc>
          <w:tcPr/>
          <w:p>
            <w:pPr>
              <w:pStyle w:val="Compact"/>
              <w:jc w:val="left"/>
            </w:pPr>
            <w:r>
              <w:t xml:space="preserve">“At lunch he spills half the dal, so I just feed him now. He hates it. Last Sunday he refused to eat with the family.”</w:t>
            </w:r>
          </w:p>
        </w:tc>
        <w:tc>
          <w:tcPr/>
          <w:p>
            <w:pPr>
              <w:pStyle w:val="Compact"/>
              <w:jc w:val="left"/>
            </w:pPr>
            <w:r>
              <w:t xml:space="preserve">Spills daily · feeds him herself · ≈1 h/day of her time</w:t>
            </w:r>
          </w:p>
        </w:tc>
      </w:tr>
      <w:tr>
        <w:tc>
          <w:tcPr/>
          <w:p>
            <w:pPr>
              <w:pStyle w:val="Compact"/>
              <w:jc w:val="left"/>
            </w:pPr>
            <w:r>
              <w:t xml:space="preserve">2</w:t>
            </w:r>
          </w:p>
        </w:tc>
        <w:tc>
          <w:tcPr/>
          <w:p>
            <w:pPr>
              <w:pStyle w:val="Compact"/>
              <w:jc w:val="left"/>
            </w:pPr>
            <w:r>
              <w:t xml:space="preserve">24 Aug 2026</w:t>
            </w:r>
          </w:p>
        </w:tc>
        <w:tc>
          <w:tcPr/>
          <w:p>
            <w:pPr>
              <w:pStyle w:val="Compact"/>
              <w:jc w:val="left"/>
            </w:pPr>
            <w:r>
              <w:t xml:space="preserve">Man, 67, essential tremor (Thane)</w:t>
            </w:r>
          </w:p>
        </w:tc>
        <w:tc>
          <w:tcPr/>
          <w:p>
            <w:pPr>
              <w:pStyle w:val="Compact"/>
              <w:jc w:val="left"/>
            </w:pPr>
            <w:r>
              <w:t xml:space="preserve">“I stopped ordering soup at restaurants about two years ago. I hold the cup with both hands at home.”</w:t>
            </w:r>
          </w:p>
        </w:tc>
        <w:tc>
          <w:tcPr/>
          <w:p>
            <w:pPr>
              <w:pStyle w:val="Compact"/>
              <w:jc w:val="left"/>
            </w:pPr>
            <w:r>
              <w:t xml:space="preserve">Avoids liquids in public · weekly · two-hand grip · no spend</w:t>
            </w:r>
          </w:p>
        </w:tc>
      </w:tr>
      <w:tr>
        <w:tc>
          <w:tcPr/>
          <w:p>
            <w:pPr>
              <w:pStyle w:val="Compact"/>
              <w:jc w:val="left"/>
            </w:pPr>
            <w:r>
              <w:t xml:space="preserve">3</w:t>
            </w:r>
          </w:p>
        </w:tc>
        <w:tc>
          <w:tcPr/>
          <w:p>
            <w:pPr>
              <w:pStyle w:val="Compact"/>
              <w:jc w:val="left"/>
            </w:pPr>
            <w:r>
              <w:t xml:space="preserve">27 Aug 2026</w:t>
            </w:r>
          </w:p>
        </w:tc>
        <w:tc>
          <w:tcPr/>
          <w:p>
            <w:pPr>
              <w:pStyle w:val="Compact"/>
              <w:jc w:val="left"/>
            </w:pPr>
            <w:r>
              <w:t xml:space="preserve">Woman, 71, PD (Andheri)</w:t>
            </w:r>
          </w:p>
        </w:tc>
        <w:tc>
          <w:tcPr/>
          <w:p>
            <w:pPr>
              <w:pStyle w:val="Compact"/>
              <w:jc w:val="left"/>
            </w:pPr>
            <w:r>
              <w:t xml:space="preserve">“My son bought a heavy steel spoon online for ₹1,800. It helped a bit but my wrist pains after ten minutes.”</w:t>
            </w:r>
          </w:p>
        </w:tc>
        <w:tc>
          <w:tcPr/>
          <w:p>
            <w:pPr>
              <w:pStyle w:val="Compact"/>
              <w:jc w:val="left"/>
            </w:pPr>
            <w:r>
              <w:t xml:space="preserve">Daily · weighted spoon · ₹1,800 spent</w:t>
            </w:r>
          </w:p>
        </w:tc>
      </w:tr>
      <w:tr>
        <w:tc>
          <w:tcPr/>
          <w:p>
            <w:pPr>
              <w:pStyle w:val="Compact"/>
              <w:jc w:val="left"/>
            </w:pPr>
            <w:r>
              <w:t xml:space="preserve">4</w:t>
            </w:r>
          </w:p>
        </w:tc>
        <w:tc>
          <w:tcPr/>
          <w:p>
            <w:pPr>
              <w:pStyle w:val="Compact"/>
              <w:jc w:val="left"/>
            </w:pPr>
            <w:r>
              <w:t xml:space="preserve">29 Aug 2026</w:t>
            </w:r>
          </w:p>
        </w:tc>
        <w:tc>
          <w:tcPr/>
          <w:p>
            <w:pPr>
              <w:pStyle w:val="Compact"/>
              <w:jc w:val="left"/>
            </w:pPr>
            <w:r>
              <w:t xml:space="preserve">Son, 38, father with PD (Pune)</w:t>
            </w:r>
          </w:p>
        </w:tc>
        <w:tc>
          <w:tcPr/>
          <w:p>
            <w:pPr>
              <w:pStyle w:val="Compact"/>
              <w:jc w:val="left"/>
            </w:pPr>
            <w:r>
              <w:t xml:space="preserve">“The neurologist sees him for ten minutes every three months. Whatever happened in between, we have to remember it.”</w:t>
            </w:r>
          </w:p>
        </w:tc>
        <w:tc>
          <w:tcPr/>
          <w:p>
            <w:pPr>
              <w:pStyle w:val="Compact"/>
              <w:jc w:val="left"/>
            </w:pPr>
            <w:r>
              <w:t xml:space="preserve">Clinic snapshot · quarterly · keeps WhatsApp notes</w:t>
            </w:r>
          </w:p>
        </w:tc>
      </w:tr>
      <w:tr>
        <w:tc>
          <w:tcPr/>
          <w:p>
            <w:pPr>
              <w:pStyle w:val="Compact"/>
              <w:jc w:val="left"/>
            </w:pPr>
            <w:r>
              <w:t xml:space="preserve">5</w:t>
            </w:r>
          </w:p>
        </w:tc>
        <w:tc>
          <w:tcPr/>
          <w:p>
            <w:pPr>
              <w:pStyle w:val="Compact"/>
              <w:jc w:val="left"/>
            </w:pPr>
            <w:r>
              <w:t xml:space="preserve">2 Sep 2026</w:t>
            </w:r>
          </w:p>
        </w:tc>
        <w:tc>
          <w:tcPr/>
          <w:p>
            <w:pPr>
              <w:pStyle w:val="Compact"/>
              <w:jc w:val="left"/>
            </w:pPr>
            <w:r>
              <w:t xml:space="preserve">Occupational therapist (Bandra clinic)</w:t>
            </w:r>
          </w:p>
        </w:tc>
        <w:tc>
          <w:tcPr/>
          <w:p>
            <w:pPr>
              <w:pStyle w:val="Compact"/>
              <w:jc w:val="left"/>
            </w:pPr>
            <w:r>
              <w:t xml:space="preserve">“About one in five of my tremor patients asks about adaptive cutlery. The imported ones cost more than most families can spend.”</w:t>
            </w:r>
          </w:p>
        </w:tc>
        <w:tc>
          <w:tcPr/>
          <w:p>
            <w:pPr>
              <w:pStyle w:val="Compact"/>
              <w:jc w:val="left"/>
            </w:pPr>
            <w:r>
              <w:t xml:space="preserve">Recurring ask · weekly · recommends built-up handles</w:t>
            </w:r>
          </w:p>
        </w:tc>
      </w:tr>
      <w:tr>
        <w:tc>
          <w:tcPr/>
          <w:p>
            <w:pPr>
              <w:pStyle w:val="Compact"/>
              <w:jc w:val="left"/>
            </w:pPr>
            <w:r>
              <w:t xml:space="preserve">6</w:t>
            </w:r>
          </w:p>
        </w:tc>
        <w:tc>
          <w:tcPr/>
          <w:p>
            <w:pPr>
              <w:pStyle w:val="Compact"/>
              <w:jc w:val="left"/>
            </w:pPr>
            <w:r>
              <w:t xml:space="preserve">4 Sep 2026</w:t>
            </w:r>
          </w:p>
        </w:tc>
        <w:tc>
          <w:tcPr/>
          <w:p>
            <w:pPr>
              <w:pStyle w:val="Compact"/>
              <w:jc w:val="left"/>
            </w:pPr>
            <w:r>
              <w:t xml:space="preserve">Wife, 64, husband with ET (Borivali)</w:t>
            </w:r>
          </w:p>
        </w:tc>
        <w:tc>
          <w:tcPr/>
          <w:p>
            <w:pPr>
              <w:pStyle w:val="Compact"/>
              <w:jc w:val="left"/>
            </w:pPr>
            <w:r>
              <w:t xml:space="preserve">“He eats before guests arrive so nobody sees him shake. We tried a ₹600 rubber grip; it didn't stop the shaking.”</w:t>
            </w:r>
          </w:p>
        </w:tc>
        <w:tc>
          <w:tcPr/>
          <w:p>
            <w:pPr>
              <w:pStyle w:val="Compact"/>
              <w:jc w:val="left"/>
            </w:pPr>
            <w:r>
              <w:t xml:space="preserve">Embarrassment · each visit · ₹600 grip</w:t>
            </w:r>
          </w:p>
        </w:tc>
      </w:tr>
    </w:tbl>
    <w:bookmarkEnd w:id="26"/>
    <w:bookmarkStart w:id="27" w:name="pattern-analysis"/>
    <w:p>
      <w:pPr>
        <w:pStyle w:val="Heading2"/>
      </w:pPr>
      <w:r>
        <w:t xml:space="preserve">4. Pattern analysis</w:t>
      </w:r>
    </w:p>
    <w:tbl>
      <w:tblPr>
        <w:tblStyle w:val="Table"/>
        <w:tblW w:type="pct" w:w="5000"/>
        <w:tblLook w:firstRow="1" w:lastRow="0" w:firstColumn="0" w:lastColumn="0" w:noHBand="0" w:noVBand="0" w:val="0020"/>
        <w:jc w:val="start"/>
      </w:tblPr>
      <w:tblGrid>
        <w:gridCol w:w="3168"/>
        <w:gridCol w:w="1584"/>
        <w:gridCol w:w="3168"/>
      </w:tblGrid>
      <w:tr>
        <w:trPr>
          <w:tblHeader w:val="true"/>
        </w:trPr>
        <w:tc>
          <w:tcPr/>
          <w:p>
            <w:pPr>
              <w:pStyle w:val="Compact"/>
              <w:jc w:val="left"/>
            </w:pPr>
            <w:r>
              <w:t xml:space="preserve">Signal</w:t>
            </w:r>
          </w:p>
        </w:tc>
        <w:tc>
          <w:tcPr/>
          <w:p>
            <w:pPr>
              <w:pStyle w:val="Compact"/>
              <w:jc w:val="left"/>
            </w:pPr>
            <w:r>
              <w:t xml:space="preserve">Count out of N = 6</w:t>
            </w:r>
          </w:p>
        </w:tc>
        <w:tc>
          <w:tcPr/>
          <w:p>
            <w:pPr>
              <w:pStyle w:val="Compact"/>
              <w:jc w:val="left"/>
            </w:pPr>
            <w:r>
              <w:t xml:space="preserve">Evidence (interview #)</w:t>
            </w:r>
          </w:p>
        </w:tc>
      </w:tr>
      <w:tr>
        <w:tc>
          <w:tcPr/>
          <w:p>
            <w:pPr>
              <w:pStyle w:val="Compact"/>
              <w:jc w:val="left"/>
            </w:pPr>
            <w:r>
              <w:t xml:space="preserve">Same pain mentioned (eating disrupted)</w:t>
            </w:r>
          </w:p>
        </w:tc>
        <w:tc>
          <w:tcPr/>
          <w:p>
            <w:pPr>
              <w:pStyle w:val="Compact"/>
              <w:jc w:val="left"/>
            </w:pPr>
            <w:r>
              <w:t xml:space="preserve">5 / 6</w:t>
            </w:r>
          </w:p>
        </w:tc>
        <w:tc>
          <w:tcPr/>
          <w:p>
            <w:pPr>
              <w:pStyle w:val="Compact"/>
              <w:jc w:val="left"/>
            </w:pPr>
            <w:r>
              <w:t xml:space="preserve">1, 2, 3, 6 (and 5 as a clinician)</w:t>
            </w:r>
          </w:p>
        </w:tc>
      </w:tr>
      <w:tr>
        <w:tc>
          <w:tcPr/>
          <w:p>
            <w:pPr>
              <w:pStyle w:val="Compact"/>
              <w:jc w:val="left"/>
            </w:pPr>
            <w:r>
              <w:t xml:space="preserve">Weekly or more frequent</w:t>
            </w:r>
          </w:p>
        </w:tc>
        <w:tc>
          <w:tcPr/>
          <w:p>
            <w:pPr>
              <w:pStyle w:val="Compact"/>
              <w:jc w:val="left"/>
            </w:pPr>
            <w:r>
              <w:t xml:space="preserve">5 / 6</w:t>
            </w:r>
          </w:p>
        </w:tc>
        <w:tc>
          <w:tcPr/>
          <w:p>
            <w:pPr>
              <w:pStyle w:val="Compact"/>
              <w:jc w:val="left"/>
            </w:pPr>
            <w:r>
              <w:t xml:space="preserve">1, 2, 3, 5, 6</w:t>
            </w:r>
          </w:p>
        </w:tc>
      </w:tr>
      <w:tr>
        <w:tc>
          <w:tcPr/>
          <w:p>
            <w:pPr>
              <w:pStyle w:val="Compact"/>
              <w:jc w:val="left"/>
            </w:pPr>
            <w:r>
              <w:t xml:space="preserve">Has an existing workaround</w:t>
            </w:r>
          </w:p>
        </w:tc>
        <w:tc>
          <w:tcPr/>
          <w:p>
            <w:pPr>
              <w:pStyle w:val="Compact"/>
              <w:jc w:val="left"/>
            </w:pPr>
            <w:r>
              <w:t xml:space="preserve">6 / 6</w:t>
            </w:r>
          </w:p>
        </w:tc>
        <w:tc>
          <w:tcPr/>
          <w:p>
            <w:pPr>
              <w:pStyle w:val="Compact"/>
              <w:jc w:val="left"/>
            </w:pPr>
            <w:r>
              <w:t xml:space="preserve">All</w:t>
            </w:r>
          </w:p>
        </w:tc>
      </w:tr>
      <w:tr>
        <w:tc>
          <w:tcPr/>
          <w:p>
            <w:pPr>
              <w:pStyle w:val="Compact"/>
              <w:jc w:val="left"/>
            </w:pPr>
            <w:r>
              <w:t xml:space="preserve">Has already paid money/time/reputation</w:t>
            </w:r>
          </w:p>
        </w:tc>
        <w:tc>
          <w:tcPr/>
          <w:p>
            <w:pPr>
              <w:pStyle w:val="Compact"/>
              <w:jc w:val="left"/>
            </w:pPr>
            <w:r>
              <w:t xml:space="preserve">4 / 6</w:t>
            </w:r>
          </w:p>
        </w:tc>
        <w:tc>
          <w:tcPr/>
          <w:p>
            <w:pPr>
              <w:pStyle w:val="Compact"/>
              <w:jc w:val="left"/>
            </w:pPr>
            <w:r>
              <w:t xml:space="preserve">1 (time), 3 (₹1,800), 6 (₹600), 2 (avoids eating out)</w:t>
            </w:r>
          </w:p>
        </w:tc>
      </w:tr>
      <w:tr>
        <w:tc>
          <w:tcPr/>
          <w:p>
            <w:pPr>
              <w:pStyle w:val="Compact"/>
              <w:jc w:val="left"/>
            </w:pPr>
            <w:r>
              <w:t xml:space="preserve">Clinician measures movement only in clinic</w:t>
            </w:r>
          </w:p>
        </w:tc>
        <w:tc>
          <w:tcPr/>
          <w:p>
            <w:pPr>
              <w:pStyle w:val="Compact"/>
              <w:jc w:val="left"/>
            </w:pPr>
            <w:r>
              <w:t xml:space="preserve">2 / 6</w:t>
            </w:r>
          </w:p>
        </w:tc>
        <w:tc>
          <w:tcPr/>
          <w:p>
            <w:pPr>
              <w:pStyle w:val="Compact"/>
              <w:jc w:val="left"/>
            </w:pPr>
            <w:r>
              <w:t xml:space="preserve">4, 5</w:t>
            </w:r>
          </w:p>
        </w:tc>
      </w:tr>
    </w:tbl>
    <w:bookmarkEnd w:id="27"/>
    <w:bookmarkStart w:id="28" w:name="X34296eceac6f382b0101205613961ff66145244"/>
    <w:p>
      <w:pPr>
        <w:pStyle w:val="Heading2"/>
      </w:pPr>
      <w:r>
        <w:t xml:space="preserve">5. Secondary evidence already in hand (labelled as published, not interviews)</w:t>
      </w:r>
    </w:p>
    <w:tbl>
      <w:tblPr>
        <w:tblStyle w:val="Table"/>
        <w:tblW w:type="pct" w:w="5000"/>
        <w:tblLook w:firstRow="1" w:lastRow="0" w:firstColumn="0" w:lastColumn="0" w:noHBand="0" w:noVBand="0" w:val="0020"/>
        <w:jc w:val="start"/>
      </w:tblPr>
      <w:tblGrid>
        <w:gridCol w:w="1267"/>
        <w:gridCol w:w="3801"/>
        <w:gridCol w:w="2851"/>
      </w:tblGrid>
      <w:tr>
        <w:trPr>
          <w:tblHeader w:val="true"/>
        </w:trPr>
        <w:tc>
          <w:tcPr/>
          <w:p>
            <w:pPr>
              <w:pStyle w:val="Compact"/>
              <w:jc w:val="left"/>
            </w:pPr>
            <w:r>
              <w:t xml:space="preserve">Who</w:t>
            </w:r>
          </w:p>
        </w:tc>
        <w:tc>
          <w:tcPr/>
          <w:p>
            <w:pPr>
              <w:pStyle w:val="Compact"/>
              <w:jc w:val="left"/>
            </w:pPr>
            <w:r>
              <w:t xml:space="preserve">Published statement</w:t>
            </w:r>
          </w:p>
        </w:tc>
        <w:tc>
          <w:tcPr/>
          <w:p>
            <w:pPr>
              <w:pStyle w:val="Compact"/>
              <w:jc w:val="left"/>
            </w:pPr>
            <w:r>
              <w:t xml:space="preserve">Source</w:t>
            </w:r>
          </w:p>
        </w:tc>
      </w:tr>
      <w:tr>
        <w:tc>
          <w:tcPr/>
          <w:p>
            <w:pPr>
              <w:pStyle w:val="Compact"/>
              <w:jc w:val="left"/>
            </w:pPr>
            <w:r>
              <w:t xml:space="preserve">Clinicians</w:t>
            </w:r>
          </w:p>
        </w:tc>
        <w:tc>
          <w:tcPr/>
          <w:p>
            <w:pPr>
              <w:pStyle w:val="Compact"/>
              <w:jc w:val="left"/>
            </w:pPr>
            <w:r>
              <w:t xml:space="preserve">“Obtaining only a snapshot of symptoms during a single clinical office visit does not provide enough time resolution to determine how to optimize symptomatic benefit.”</w:t>
            </w:r>
          </w:p>
        </w:tc>
        <w:tc>
          <w:tcPr/>
          <w:p>
            <w:pPr>
              <w:pStyle w:val="Compact"/>
              <w:jc w:val="left"/>
            </w:pPr>
            <w:r>
              <w:t xml:space="preserve">Hadley, Riley &amp; Heldman, Digital Biomarkers 2021</w:t>
            </w:r>
            <w:r>
              <w:br/>
            </w:r>
            <w:r>
              <w:t xml:space="preserve">https://karger.com/dib/article/5/3/206/823097/Real-World-Evidence-for-a-Smartwatch-Based</w:t>
            </w:r>
          </w:p>
        </w:tc>
      </w:tr>
      <w:tr>
        <w:tc>
          <w:tcPr/>
          <w:p>
            <w:pPr>
              <w:pStyle w:val="Compact"/>
              <w:jc w:val="left"/>
            </w:pPr>
            <w:r>
              <w:t xml:space="preserve">People with tremor</w:t>
            </w:r>
          </w:p>
        </w:tc>
        <w:tc>
          <w:tcPr/>
          <w:p>
            <w:pPr>
              <w:pStyle w:val="Compact"/>
              <w:jc w:val="left"/>
            </w:pPr>
            <w:r>
              <w:t xml:space="preserve">“I am embarrassed by my tremor when I try to eat or drink in public.”</w:t>
            </w:r>
          </w:p>
        </w:tc>
        <w:tc>
          <w:tcPr/>
          <w:p>
            <w:pPr>
              <w:pStyle w:val="Compact"/>
              <w:jc w:val="left"/>
            </w:pPr>
            <w:r>
              <w:t xml:space="preserve">Most-endorsed item among people with essential tremor; 63.2% found their tremor embarrassing. Kellner et al., J Neurol Sci 2017</w:t>
            </w:r>
            <w:r>
              <w:br/>
            </w:r>
            <w:r>
              <w:t xml:space="preserve">https://pmc.ncbi.nlm.nih.gov/articles/PMC5739080</w:t>
            </w:r>
          </w:p>
        </w:tc>
      </w:tr>
      <w:tr>
        <w:tc>
          <w:tcPr/>
          <w:p>
            <w:pPr>
              <w:pStyle w:val="Compact"/>
              <w:jc w:val="left"/>
            </w:pPr>
            <w:r>
              <w:t xml:space="preserve">Caregivers (India)</w:t>
            </w:r>
          </w:p>
        </w:tc>
        <w:tc>
          <w:tcPr/>
          <w:p>
            <w:pPr>
              <w:pStyle w:val="Compact"/>
              <w:jc w:val="left"/>
            </w:pPr>
            <w:r>
              <w:t xml:space="preserve">“Out of 100 caregivers, 73 reported to have "severe" caregiver burden.”</w:t>
            </w:r>
          </w:p>
        </w:tc>
        <w:tc>
          <w:tcPr/>
          <w:p>
            <w:pPr>
              <w:pStyle w:val="Compact"/>
              <w:jc w:val="left"/>
            </w:pPr>
            <w:r>
              <w:t xml:space="preserve">Parkinson's caregivers, Southern India. Kurupath, Arathil &amp; Bansal, JCDR 2020</w:t>
            </w:r>
            <w:r>
              <w:br/>
            </w:r>
            <w:r>
              <w:t xml:space="preserve">https://jcdr.net/ReadXMLFile.aspx?id=14384</w:t>
            </w:r>
          </w:p>
        </w:tc>
      </w:tr>
    </w:tbl>
    <w:bookmarkEnd w:id="28"/>
    <w:bookmarkStart w:id="29" w:name="continue-kill-decision"/>
    <w:p>
      <w:pPr>
        <w:pStyle w:val="Heading2"/>
      </w:pPr>
      <w:r>
        <w:t xml:space="preserve">6. Continue / kill decision</w:t>
      </w:r>
    </w:p>
    <w:p>
      <w:pPr>
        <w:pStyle w:val="FirstParagraph"/>
      </w:pPr>
      <w:r>
        <w:t xml:space="preserve">Kill trigger set before the interviews: stop TremoSense as a consumer product if fewer than 3 of 5+ interviewees describe tremor disrupting meals at least weekly, or none has spent money or effort on a workaround.</w:t>
      </w:r>
    </w:p>
    <w:p>
      <w:pPr>
        <w:pStyle w:val="BodyText"/>
      </w:pPr>
      <w:r>
        <w:rPr>
          <w:bCs/>
          <w:b/>
        </w:rPr>
        <w:t xml:space="preserve">Decision: CONTINUE.</w:t>
      </w:r>
      <w:r>
        <w:t xml:space="preserve"> </w:t>
      </w:r>
      <w:r>
        <w:t xml:space="preserve">5 of 6 describe tremor disrupting meals at least weekly and 4 of 6 have already spent money or time on a workaround that does not fully work, which clears our kill trigger. The pattern matches the published evidence in section 5.</w:t>
      </w:r>
    </w:p>
    <w:bookmarkEnd w:id="29"/>
    <w:bookmarkEnd w:id="30"/>
    <w:bookmarkStart w:id="36" w:name="M1.2"/>
    <w:p>
      <w:pPr>
        <w:pStyle w:val="BodyText"/>
      </w:pPr>
      <w:r>
        <w:t xml:space="preserve">M1 · Activity 2 · Mandatory Model M1.2</w:t>
      </w:r>
    </w:p>
    <w:bookmarkStart w:id="31" w:name="opportunity-scorecard-why-now-memo"/>
    <w:p>
      <w:pPr>
        <w:pStyle w:val="Heading1"/>
      </w:pPr>
      <w:r>
        <w:t xml:space="preserve">Opportunity Scorecard &amp; “Why Now?” Memo</w:t>
      </w:r>
    </w:p>
    <w:tbl>
      <w:tblPr>
        <w:tblStyle w:val="Table"/>
        <w:tblW w:type="auto" w:w="0"/>
        <w:tblLook w:firstRow="0" w:lastRow="0" w:firstColumn="0" w:lastColumn="0" w:noHBand="0" w:noVBand="0" w:val="0000"/>
        <w:jc w:val="start"/>
      </w:tblPr>
      <w:tblGrid>
        <w:gridCol w:w="1980"/>
        <w:gridCol w:w="1980"/>
        <w:gridCol w:w="1980"/>
        <w:gridCol w:w="1980"/>
      </w:tblGrid>
      <w:tr>
        <w:tc>
          <w:tcPr/>
          <w:p>
            <w:pPr>
              <w:pStyle w:val="Compact"/>
              <w:jc w:val="left"/>
            </w:pPr>
            <w:r>
              <w:rPr>
                <w:bCs/>
                <w:b/>
              </w:rPr>
              <w:t xml:space="preserve">Module</w:t>
            </w:r>
            <w:r>
              <w:t xml:space="preserve"> </w:t>
            </w:r>
            <w:r>
              <w:t xml:space="preserve">1</w:t>
            </w:r>
          </w:p>
        </w:tc>
        <w:tc>
          <w:tcPr/>
          <w:p>
            <w:pPr>
              <w:pStyle w:val="Compact"/>
              <w:jc w:val="left"/>
            </w:pPr>
            <w:r>
              <w:rPr>
                <w:bCs/>
                <w:b/>
              </w:rPr>
              <w:t xml:space="preserve">Activity</w:t>
            </w:r>
            <w:r>
              <w:t xml:space="preserve"> </w:t>
            </w:r>
            <w:r>
              <w:t xml:space="preserve">2</w:t>
            </w:r>
          </w:p>
        </w:tc>
        <w:tc>
          <w:tcPr/>
          <w:p>
            <w:pPr>
              <w:pStyle w:val="Compact"/>
              <w:jc w:val="left"/>
            </w:pPr>
            <w:r>
              <w:rPr>
                <w:bCs/>
                <w:b/>
              </w:rPr>
              <w:t xml:space="preserve">Date completed</w:t>
            </w:r>
            <w:r>
              <w:t xml:space="preserve"> </w:t>
            </w:r>
            <w:r>
              <w:t xml:space="preserve">19 Aug 2026</w:t>
            </w:r>
          </w:p>
        </w:tc>
        <w:tc>
          <w:tcPr/>
          <w:p>
            <w:pPr>
              <w:pStyle w:val="Compact"/>
              <w:jc w:val="left"/>
            </w:pPr>
            <w:r>
              <w:rPr>
                <w:bCs/>
                <w:b/>
              </w:rPr>
              <w:t xml:space="preserve">Venture</w:t>
            </w:r>
            <w:r>
              <w:t xml:space="preserve"> </w:t>
            </w:r>
            <w:r>
              <w:t xml:space="preserve">AVERRA</w:t>
            </w:r>
          </w:p>
        </w:tc>
      </w:tr>
      <w:tr>
        <w:tc>
          <w:tcPr>
            <w:gridSpan w:val="4"/>
          </w:tcPr>
          <w:p>
            <w:pPr>
              <w:pStyle w:val="Compact"/>
              <w:jc w:val="left"/>
            </w:pPr>
            <w:r>
              <w:rPr>
                <w:bCs/>
                <w:b/>
              </w:rPr>
              <w:t xml:space="preserve">Evidence status:</w:t>
            </w:r>
            <w:r>
              <w:t xml:space="preserve"> </w:t>
            </w:r>
            <w:r>
              <w:t xml:space="preserve">Completed · sourced and model figures</w:t>
            </w:r>
          </w:p>
        </w:tc>
      </w:tr>
      <w:tr>
        <w:tc>
          <w:tcPr>
            <w:gridSpan w:val="4"/>
          </w:tcPr>
          <w:p>
            <w:pPr>
              <w:pStyle w:val="Compact"/>
              <w:jc w:val="left"/>
            </w:pPr>
            <w:r>
              <w:t xml:space="preserve">Data note: Market figures are sourced and computed in the financial model; percentage filters are labelled estimates.</w:t>
            </w:r>
          </w:p>
        </w:tc>
      </w:tr>
    </w:tbl>
    <w:bookmarkEnd w:id="31"/>
    <w:bookmarkStart w:id="32" w:name="Xcfdb552c83be12f8039990952d038c444c4a3a8"/>
    <w:p>
      <w:pPr>
        <w:pStyle w:val="Heading2"/>
      </w:pPr>
      <w:r>
        <w:t xml:space="preserve">1. Bottom-up TAM, SAM and SOM (India, revenue per year)</w:t>
      </w:r>
    </w:p>
    <w:p>
      <w:pPr>
        <w:pStyle w:val="FirstParagraph"/>
      </w:pPr>
      <w:r>
        <w:t xml:space="preserve">All inputs are on the</w:t>
      </w:r>
      <w:r>
        <w:t xml:space="preserve"> </w:t>
      </w:r>
      <w:r>
        <w:rPr>
          <w:iCs/>
          <w:i/>
        </w:rPr>
        <w:t xml:space="preserve">Market</w:t>
      </w:r>
      <w:r>
        <w:t xml:space="preserve"> </w:t>
      </w:r>
      <w:r>
        <w:t xml:space="preserve">and</w:t>
      </w:r>
      <w:r>
        <w:t xml:space="preserve"> </w:t>
      </w:r>
      <w:r>
        <w:rPr>
          <w:iCs/>
          <w:i/>
        </w:rPr>
        <w:t xml:space="preserve">Assumptions</w:t>
      </w:r>
      <w:r>
        <w:t xml:space="preserve"> </w:t>
      </w:r>
      <w:r>
        <w:t xml:space="preserve">sheets of the financial model. Revenue per customer spreads the device price over a 3-year life, net of GST.</w:t>
      </w:r>
    </w:p>
    <w:tbl>
      <w:tblPr>
        <w:tblStyle w:val="Table"/>
        <w:tblW w:type="pct" w:w="5000"/>
        <w:tblLook w:firstRow="1" w:lastRow="0" w:firstColumn="0" w:lastColumn="0" w:noHBand="0" w:noVBand="0" w:val="0020"/>
        <w:jc w:val="start"/>
      </w:tblPr>
      <w:tblGrid>
        <w:gridCol w:w="1900"/>
        <w:gridCol w:w="3009"/>
        <w:gridCol w:w="3009"/>
      </w:tblGrid>
      <w:tr>
        <w:trPr>
          <w:tblHeader w:val="true"/>
        </w:trPr>
        <w:tc>
          <w:tcPr/>
          <w:p>
            <w:pPr>
              <w:pStyle w:val="Compact"/>
              <w:jc w:val="left"/>
            </w:pPr>
            <w:r>
              <w:t xml:space="preserve">Step</w:t>
            </w:r>
          </w:p>
        </w:tc>
        <w:tc>
          <w:tcPr/>
          <w:p>
            <w:pPr>
              <w:pStyle w:val="Compact"/>
              <w:jc w:val="left"/>
            </w:pPr>
            <w:r>
              <w:t xml:space="preserve">TremoSense</w:t>
            </w:r>
          </w:p>
        </w:tc>
        <w:tc>
          <w:tcPr/>
          <w:p>
            <w:pPr>
              <w:pStyle w:val="Compact"/>
              <w:jc w:val="left"/>
            </w:pPr>
            <w:r>
              <w:t xml:space="preserve">ParkinSense (PD households, beachhead)</w:t>
            </w:r>
          </w:p>
        </w:tc>
      </w:tr>
      <w:tr>
        <w:tc>
          <w:tcPr/>
          <w:p>
            <w:pPr>
              <w:pStyle w:val="Compact"/>
              <w:jc w:val="left"/>
            </w:pPr>
            <w:r>
              <w:t xml:space="preserve">Population base</w:t>
            </w:r>
          </w:p>
        </w:tc>
        <w:tc>
          <w:tcPr/>
          <w:p>
            <w:pPr>
              <w:pStyle w:val="Compact"/>
              <w:jc w:val="left"/>
            </w:pPr>
            <w:r>
              <w:t xml:space="preserve">Indians aged 60+ = 14.9 Cr (UNFPA 2023)</w:t>
            </w:r>
          </w:p>
        </w:tc>
        <w:tc>
          <w:tcPr/>
          <w:p>
            <w:pPr>
              <w:pStyle w:val="Compact"/>
              <w:jc w:val="left"/>
            </w:pPr>
            <w:r>
              <w:t xml:space="preserve">Same base</w:t>
            </w:r>
          </w:p>
        </w:tc>
      </w:tr>
      <w:tr>
        <w:tc>
          <w:tcPr/>
          <w:p>
            <w:pPr>
              <w:pStyle w:val="Compact"/>
              <w:jc w:val="left"/>
            </w:pPr>
            <w:r>
              <w:t xml:space="preserve">Patients</w:t>
            </w:r>
          </w:p>
        </w:tc>
        <w:tc>
          <w:tcPr/>
          <w:p>
            <w:pPr>
              <w:pStyle w:val="Compact"/>
              <w:jc w:val="left"/>
            </w:pPr>
            <w:r>
              <w:t xml:space="preserve">PD 308.9 per lakh aged 60+ → 460,261; ET 89.96 per lakh → 1,276,575</w:t>
            </w:r>
          </w:p>
        </w:tc>
        <w:tc>
          <w:tcPr/>
          <w:p>
            <w:pPr>
              <w:pStyle w:val="Compact"/>
              <w:jc w:val="left"/>
            </w:pPr>
            <w:r>
              <w:t xml:space="preserve">PD aged 60+ = 460,261</w:t>
            </w:r>
          </w:p>
        </w:tc>
      </w:tr>
      <w:tr>
        <w:tc>
          <w:tcPr/>
          <w:p>
            <w:pPr>
              <w:pStyle w:val="Compact"/>
              <w:jc w:val="left"/>
            </w:pPr>
            <w:r>
              <w:t xml:space="preserve">Customers with the need</w:t>
            </w:r>
          </w:p>
        </w:tc>
        <w:tc>
          <w:tcPr/>
          <w:p>
            <w:pPr>
              <w:pStyle w:val="Compact"/>
              <w:jc w:val="left"/>
            </w:pPr>
            <w:r>
              <w:t xml:space="preserve">(PD + ET) × 50% eating-disruptive tremor = 868,418</w:t>
            </w:r>
          </w:p>
        </w:tc>
        <w:tc>
          <w:tcPr/>
          <w:p>
            <w:pPr>
              <w:pStyle w:val="Compact"/>
              <w:jc w:val="left"/>
            </w:pPr>
            <w:r>
              <w:t xml:space="preserve">460,261 households</w:t>
            </w:r>
          </w:p>
        </w:tc>
      </w:tr>
      <w:tr>
        <w:tc>
          <w:tcPr/>
          <w:p>
            <w:pPr>
              <w:pStyle w:val="Compact"/>
              <w:jc w:val="left"/>
            </w:pPr>
            <w:r>
              <w:t xml:space="preserve">₹ per customer per year</w:t>
            </w:r>
          </w:p>
        </w:tc>
        <w:tc>
          <w:tcPr/>
          <w:p>
            <w:pPr>
              <w:pStyle w:val="Compact"/>
              <w:jc w:val="left"/>
            </w:pPr>
            <w:r>
              <w:t xml:space="preserve">₹9,999 ÷ 1.05 GST ÷ 3 yrs = ₹3,174</w:t>
            </w:r>
          </w:p>
        </w:tc>
        <w:tc>
          <w:tcPr/>
          <w:p>
            <w:pPr>
              <w:pStyle w:val="Compact"/>
              <w:jc w:val="left"/>
            </w:pPr>
            <w:r>
              <w:t xml:space="preserve">₹7,999 ÷ 1.18 ÷ 3 + 40% × ₹169 × 12 = ₹3,069</w:t>
            </w:r>
          </w:p>
        </w:tc>
      </w:tr>
      <w:tr>
        <w:tc>
          <w:tcPr/>
          <w:p>
            <w:pPr>
              <w:pStyle w:val="Compact"/>
              <w:jc w:val="left"/>
            </w:pPr>
            <w:r>
              <w:rPr>
                <w:bCs/>
                <w:b/>
              </w:rPr>
              <w:t xml:space="preserve">TAM</w:t>
            </w:r>
          </w:p>
        </w:tc>
        <w:tc>
          <w:tcPr/>
          <w:p>
            <w:pPr>
              <w:pStyle w:val="Compact"/>
              <w:jc w:val="left"/>
            </w:pPr>
            <w:r>
              <w:rPr>
                <w:bCs/>
                <w:b/>
              </w:rPr>
              <w:t xml:space="preserve">868,418 × ₹3,174 = ₹275.66 Cr</w:t>
            </w:r>
          </w:p>
        </w:tc>
        <w:tc>
          <w:tcPr/>
          <w:p>
            <w:pPr>
              <w:pStyle w:val="Compact"/>
              <w:jc w:val="left"/>
            </w:pPr>
            <w:r>
              <w:rPr>
                <w:bCs/>
                <w:b/>
              </w:rPr>
              <w:t xml:space="preserve">460,261 × ₹3,069 = ₹141.26 Cr</w:t>
            </w:r>
          </w:p>
        </w:tc>
      </w:tr>
      <w:tr>
        <w:tc>
          <w:tcPr/>
          <w:p>
            <w:pPr>
              <w:pStyle w:val="Compact"/>
              <w:jc w:val="left"/>
            </w:pPr>
            <w:r>
              <w:rPr>
                <w:bCs/>
                <w:b/>
              </w:rPr>
              <w:t xml:space="preserve">SAM</w:t>
            </w:r>
            <w:r>
              <w:t xml:space="preserve"> </w:t>
            </w:r>
            <w:r>
              <w:t xml:space="preserve">(urban 31.1% × under neurologist care 40%)</w:t>
            </w:r>
          </w:p>
        </w:tc>
        <w:tc>
          <w:tcPr/>
          <w:p>
            <w:pPr>
              <w:pStyle w:val="Compact"/>
              <w:jc w:val="left"/>
            </w:pPr>
            <w:r>
              <w:rPr>
                <w:bCs/>
                <w:b/>
              </w:rPr>
              <w:t xml:space="preserve">108,031 people = ₹34.29 Cr</w:t>
            </w:r>
          </w:p>
        </w:tc>
        <w:tc>
          <w:tcPr/>
          <w:p>
            <w:pPr>
              <w:pStyle w:val="Compact"/>
              <w:jc w:val="left"/>
            </w:pPr>
            <w:r>
              <w:rPr>
                <w:bCs/>
                <w:b/>
              </w:rPr>
              <w:t xml:space="preserve">57,256 = ₹17.57 Cr</w:t>
            </w:r>
          </w:p>
        </w:tc>
      </w:tr>
      <w:tr>
        <w:tc>
          <w:tcPr/>
          <w:p>
            <w:pPr>
              <w:pStyle w:val="Compact"/>
              <w:jc w:val="left"/>
            </w:pPr>
            <w:r>
              <w:rPr>
                <w:bCs/>
                <w:b/>
              </w:rPr>
              <w:t xml:space="preserve">SOM</w:t>
            </w:r>
            <w:r>
              <w:t xml:space="preserve"> </w:t>
            </w:r>
            <w:r>
              <w:t xml:space="preserve">(Year 3, what our channels can reach)</w:t>
            </w:r>
          </w:p>
        </w:tc>
        <w:tc>
          <w:tcPr/>
          <w:p>
            <w:pPr>
              <w:pStyle w:val="Compact"/>
              <w:jc w:val="left"/>
            </w:pPr>
            <w:r>
              <w:rPr>
                <w:bCs/>
                <w:b/>
              </w:rPr>
              <w:t xml:space="preserve">30 clinics × 4/month × 12 + 50 online/month × 12 = 2,040 = ₹64.76 L</w:t>
            </w:r>
            <w:r>
              <w:t xml:space="preserve"> </w:t>
            </w:r>
            <w:r>
              <w:t xml:space="preserve">(1.9% of SAM)</w:t>
            </w:r>
          </w:p>
        </w:tc>
        <w:tc>
          <w:tcPr/>
          <w:p>
            <w:pPr>
              <w:pStyle w:val="Compact"/>
              <w:jc w:val="left"/>
            </w:pPr>
            <w:r>
              <w:rPr>
                <w:bCs/>
                <w:b/>
              </w:rPr>
              <w:t xml:space="preserve">30 clinics × 2/month × 12 + 60 online/month × 12 = 1,440 = ₹44.19 L</w:t>
            </w:r>
            <w:r>
              <w:t xml:space="preserve"> </w:t>
            </w:r>
            <w:r>
              <w:t xml:space="preserve">(2.5% of SAM)</w:t>
            </w:r>
          </w:p>
        </w:tc>
      </w:tr>
    </w:tbl>
    <w:p>
      <w:pPr>
        <w:pStyle w:val="BodyText"/>
      </w:pPr>
      <w:r>
        <w:rPr>
          <w:bCs/>
          <w:b/>
        </w:rPr>
        <w:t xml:space="preserve">Company totals:</w:t>
      </w:r>
      <w:r>
        <w:t xml:space="preserve"> </w:t>
      </w:r>
      <w:r>
        <w:t xml:space="preserve">TAM ₹416.92 Cr · SAM ₹51.86 Cr · Year-3 SOM ₹108.95 L. Customer counts are not summed (one household may buy both).</w:t>
      </w:r>
    </w:p>
    <w:p>
      <w:pPr>
        <w:pStyle w:val="BodyText"/>
      </w:pPr>
      <w:r>
        <w:rPr>
          <w:bCs/>
          <w:b/>
        </w:rPr>
        <w:t xml:space="preserve">Upside, not in plan totals — ParkinSense as a general wearable:</w:t>
      </w:r>
      <w:r>
        <w:t xml:space="preserve"> </w:t>
      </w:r>
      <w:r>
        <w:t xml:space="preserve">IDC India 2024: 3.5 Cr smartwatches × ₹3,069 = ₹10742 Cr TAM; × 2.8% premium share = SAM ₹300.77 Cr; SOM 0.25% / 0.5% / 1% of SAM buyers = ₹75.19 L / ₹1.50 Cr / ₹3.01 Cr.</w:t>
      </w:r>
    </w:p>
    <w:p>
      <w:pPr>
        <w:pStyle w:val="BodyText"/>
      </w:pPr>
      <w:r>
        <w:t xml:space="preserve">Estimates to state openly: 50% eating-disruptive share, 40% under neurologist care, 3-year device life, 40% subscription take-up, clinic and online volumes. ET prevalence comes from a single rural-Gujarat study. Year-3 SOM is a target, not data.</w:t>
      </w:r>
    </w:p>
    <w:bookmarkEnd w:id="32"/>
    <w:bookmarkStart w:id="33" w:name="why-now-memo"/>
    <w:p>
      <w:pPr>
        <w:pStyle w:val="Heading2"/>
      </w:pPr>
      <w:r>
        <w:t xml:space="preserve">2. “Why Now?” memo</w:t>
      </w:r>
    </w:p>
    <w:p>
      <w:pPr>
        <w:pStyle w:val="FirstParagraph"/>
      </w:pPr>
      <w:r>
        <w:rPr>
          <w:bCs/>
          <w:b/>
        </w:rPr>
        <w:t xml:space="preserve">The shift.</w:t>
      </w:r>
      <w:r>
        <w:t xml:space="preserve"> </w:t>
      </w:r>
      <w:r>
        <w:t xml:space="preserve">Movement sensing on the wrist became mainstream and regulator-accepted, and India created a defined approval route for devices like ours. Dated evidence: Apple opened a Movement Disorder API in ResearchKit (June 2018); Rune Labs' Apple Watch Parkinson's monitoring received FDA clearance (June 2022); licensing became mandatory for all medical devices in India from 1 October 2023; UNFPA projects India's 60+ population to rise from 14.9 Cr to 34.7 Cr by 2050 (September 2023); BMJ projects 25.2 million people with Parkinson's worldwide by 2050 (March 2025). Hardware cost collapsed too: the microcontroller with an on-board 6-axis IMU used in both products lists at US$15.90 (Seeed Studio).</w:t>
      </w:r>
    </w:p>
    <w:p>
      <w:pPr>
        <w:pStyle w:val="BodyText"/>
      </w:pPr>
      <w:r>
        <w:rPr>
          <w:bCs/>
          <w:b/>
        </w:rPr>
        <w:t xml:space="preserve">Why it was harder three years ago.</w:t>
      </w:r>
      <w:r>
        <w:t xml:space="preserve"> </w:t>
      </w:r>
      <w:r>
        <w:t xml:space="preserve">Before October 2023 India had no mandatory, clearly defined licensing route for devices like ours, so a product could not be planned and costed end to end, and wrist-based PD monitoring had no regulatory precedent before 2022.</w:t>
      </w:r>
    </w:p>
    <w:p>
      <w:pPr>
        <w:pStyle w:val="BodyText"/>
      </w:pPr>
      <w:r>
        <w:rPr>
          <w:bCs/>
          <w:b/>
        </w:rPr>
        <w:t xml:space="preserve">Why the window will not stay open.</w:t>
      </w:r>
      <w:r>
        <w:t xml:space="preserve"> </w:t>
      </w:r>
      <w:r>
        <w:t xml:space="preserve">Global wearable brands (WHOOP, Garmin, Google, Amazfit) already sense movement; if they add tremor features, or imported active spoons (₹35,980–₹58,480 in India today) become cheaper, the low-cost Indian gap closes.</w:t>
      </w:r>
    </w:p>
    <w:bookmarkEnd w:id="33"/>
    <w:bookmarkStart w:id="34" w:name="Xf79d13da3057ca18a276ac570d698a50b3efc23"/>
    <w:p>
      <w:pPr>
        <w:pStyle w:val="Heading2"/>
      </w:pPr>
      <w:r>
        <w:t xml:space="preserve">3. 90-second pitch (≈150 words; rehearse aloud, no notes)</w:t>
      </w:r>
    </w:p>
    <w:p>
      <w:pPr>
        <w:pStyle w:val="BlockText"/>
      </w:pPr>
      <w:r>
        <w:t xml:space="preserve">About 4.6 lakh Indians over sixty live with Parkinson's, and more have essential tremor. Their movement is measured for a few minutes in a clinic, and at home a 4–12 hertz tremor turns a spoon into a spill. Published studies say a clinic visit is “only a snapshot”, and people with tremor are most embarrassed eating in public. AVERRA builds two products on one sensing stack. TremoSense is an active stabilising spoon: our current build rejects about 90 percent of tremor on a bench simulator, founder-reported. ParkinSense is a ₹7,999 wellness band with tremor detection. Bottom-up, our serviceable market is ₹51.9 Cr a year, and through 30 clinics plus online we target ₹109 L by year three. Next, we run a preregistered user study with at least ten people, and continue only if median tremor reduction reaches 50 percent.</w:t>
      </w:r>
    </w:p>
    <w:p>
      <w:pPr>
        <w:pStyle w:val="FirstParagraph"/>
      </w:pPr>
      <w:r>
        <w:t xml:space="preserve">Word count ≈ 150. Timed delivery: 86 s (third rehearsal, 9 Sep 2026).</w:t>
      </w:r>
    </w:p>
    <w:bookmarkEnd w:id="34"/>
    <w:bookmarkStart w:id="35" w:name="X8819636b897feb94b0f021b1b6d4d012ea5cb8f"/>
    <w:p>
      <w:pPr>
        <w:pStyle w:val="Heading2"/>
      </w:pPr>
      <w:r>
        <w:t xml:space="preserve">4. Opportunity scorecard (1 = weak, 5 = strong; every score cites its evidence)</w:t>
      </w:r>
    </w:p>
    <w:tbl>
      <w:tblPr>
        <w:tblStyle w:val="Table"/>
        <w:tblW w:type="pct" w:w="5000"/>
        <w:tblLook w:firstRow="1" w:lastRow="0" w:firstColumn="0" w:lastColumn="0" w:noHBand="0" w:noVBand="0" w:val="0020"/>
        <w:jc w:val="start"/>
      </w:tblPr>
      <w:tblGrid>
        <w:gridCol w:w="2059"/>
        <w:gridCol w:w="792"/>
        <w:gridCol w:w="5068"/>
      </w:tblGrid>
      <w:tr>
        <w:trPr>
          <w:tblHeader w:val="true"/>
        </w:trPr>
        <w:tc>
          <w:tcPr/>
          <w:p>
            <w:pPr>
              <w:pStyle w:val="Compact"/>
              <w:jc w:val="left"/>
            </w:pPr>
            <w:r>
              <w:t xml:space="preserve">Criterion</w:t>
            </w:r>
          </w:p>
        </w:tc>
        <w:tc>
          <w:tcPr/>
          <w:p>
            <w:pPr>
              <w:pStyle w:val="Compact"/>
              <w:jc w:val="left"/>
            </w:pPr>
            <w:r>
              <w:t xml:space="preserve">Score</w:t>
            </w:r>
          </w:p>
        </w:tc>
        <w:tc>
          <w:tcPr/>
          <w:p>
            <w:pPr>
              <w:pStyle w:val="Compact"/>
              <w:jc w:val="left"/>
            </w:pPr>
            <w:r>
              <w:t xml:space="preserve">Evidence behind the score</w:t>
            </w:r>
          </w:p>
        </w:tc>
      </w:tr>
      <w:tr>
        <w:tc>
          <w:tcPr/>
          <w:p>
            <w:pPr>
              <w:pStyle w:val="Compact"/>
              <w:jc w:val="left"/>
            </w:pPr>
            <w:r>
              <w:t xml:space="preserve">Size of the problem</w:t>
            </w:r>
          </w:p>
        </w:tc>
        <w:tc>
          <w:tcPr/>
          <w:p>
            <w:pPr>
              <w:pStyle w:val="Compact"/>
              <w:jc w:val="left"/>
            </w:pPr>
            <w:r>
              <w:t xml:space="preserve">4</w:t>
            </w:r>
          </w:p>
        </w:tc>
        <w:tc>
          <w:tcPr/>
          <w:p>
            <w:pPr>
              <w:pStyle w:val="Compact"/>
              <w:jc w:val="left"/>
            </w:pPr>
            <w:r>
              <w:t xml:space="preserve">Bottom-up TAM ₹416.9 Cr; PD and ET prevalence from published studies (Cureus 2025; Mov Disord 2021)</w:t>
            </w:r>
          </w:p>
        </w:tc>
      </w:tr>
      <w:tr>
        <w:tc>
          <w:tcPr/>
          <w:p>
            <w:pPr>
              <w:pStyle w:val="Compact"/>
              <w:jc w:val="left"/>
            </w:pPr>
            <w:r>
              <w:t xml:space="preserve">Pain intensity</w:t>
            </w:r>
          </w:p>
        </w:tc>
        <w:tc>
          <w:tcPr/>
          <w:p>
            <w:pPr>
              <w:pStyle w:val="Compact"/>
              <w:jc w:val="left"/>
            </w:pPr>
            <w:r>
              <w:t xml:space="preserve">4</w:t>
            </w:r>
          </w:p>
        </w:tc>
        <w:tc>
          <w:tcPr/>
          <w:p>
            <w:pPr>
              <w:pStyle w:val="Compact"/>
              <w:jc w:val="left"/>
            </w:pPr>
            <w:r>
              <w:t xml:space="preserve">Most-endorsed ET item is embarrassment eating in public (Kellner 2017); 73/100 Indian caregivers report severe burden (JCDR 2020)</w:t>
            </w:r>
          </w:p>
        </w:tc>
      </w:tr>
      <w:tr>
        <w:tc>
          <w:tcPr/>
          <w:p>
            <w:pPr>
              <w:pStyle w:val="Compact"/>
              <w:jc w:val="left"/>
            </w:pPr>
            <w:r>
              <w:t xml:space="preserve">Willingness to pay</w:t>
            </w:r>
          </w:p>
        </w:tc>
        <w:tc>
          <w:tcPr/>
          <w:p>
            <w:pPr>
              <w:pStyle w:val="Compact"/>
              <w:jc w:val="left"/>
            </w:pPr>
            <w:r>
              <w:t xml:space="preserve">2</w:t>
            </w:r>
          </w:p>
        </w:tc>
        <w:tc>
          <w:tcPr/>
          <w:p>
            <w:pPr>
              <w:pStyle w:val="Compact"/>
              <w:jc w:val="left"/>
            </w:pPr>
            <w:r>
              <w:t xml:space="preserve">Not yet measured; imported spoons sell at ₹35,980+ and GyroGlove at ≈₹5.6 L, but no AVERRA price test yet</w:t>
            </w:r>
          </w:p>
        </w:tc>
      </w:tr>
      <w:tr>
        <w:tc>
          <w:tcPr/>
          <w:p>
            <w:pPr>
              <w:pStyle w:val="Compact"/>
              <w:jc w:val="left"/>
            </w:pPr>
            <w:r>
              <w:t xml:space="preserve">Timing (why now)</w:t>
            </w:r>
          </w:p>
        </w:tc>
        <w:tc>
          <w:tcPr/>
          <w:p>
            <w:pPr>
              <w:pStyle w:val="Compact"/>
              <w:jc w:val="left"/>
            </w:pPr>
            <w:r>
              <w:t xml:space="preserve">4</w:t>
            </w:r>
          </w:p>
        </w:tc>
        <w:tc>
          <w:tcPr/>
          <w:p>
            <w:pPr>
              <w:pStyle w:val="Compact"/>
              <w:jc w:val="left"/>
            </w:pPr>
            <w:r>
              <w:t xml:space="preserve">Dated regulatory and technology shifts 2018–2023 (memo above)</w:t>
            </w:r>
          </w:p>
        </w:tc>
      </w:tr>
      <w:tr>
        <w:tc>
          <w:tcPr/>
          <w:p>
            <w:pPr>
              <w:pStyle w:val="Compact"/>
              <w:jc w:val="left"/>
            </w:pPr>
            <w:r>
              <w:t xml:space="preserve">Competition / differentiation</w:t>
            </w:r>
          </w:p>
        </w:tc>
        <w:tc>
          <w:tcPr/>
          <w:p>
            <w:pPr>
              <w:pStyle w:val="Compact"/>
              <w:jc w:val="left"/>
            </w:pPr>
            <w:r>
              <w:t xml:space="preserve">3</w:t>
            </w:r>
          </w:p>
        </w:tc>
        <w:tc>
          <w:tcPr/>
          <w:p>
            <w:pPr>
              <w:pStyle w:val="Compact"/>
              <w:jc w:val="left"/>
            </w:pPr>
            <w:r>
              <w:t xml:space="preserve">No screenless band lists tremor detection; active spoons exist but cost 4–6× our planned price</w:t>
            </w:r>
          </w:p>
        </w:tc>
      </w:tr>
      <w:tr>
        <w:tc>
          <w:tcPr/>
          <w:p>
            <w:pPr>
              <w:pStyle w:val="Compact"/>
              <w:jc w:val="left"/>
            </w:pPr>
            <w:r>
              <w:t xml:space="preserve">Team fit</w:t>
            </w:r>
          </w:p>
        </w:tc>
        <w:tc>
          <w:tcPr/>
          <w:p>
            <w:pPr>
              <w:pStyle w:val="Compact"/>
              <w:jc w:val="left"/>
            </w:pPr>
            <w:r>
              <w:t xml:space="preserve">4</w:t>
            </w:r>
          </w:p>
        </w:tc>
        <w:tc>
          <w:tcPr/>
          <w:p>
            <w:pPr>
              <w:pStyle w:val="Compact"/>
              <w:jc w:val="left"/>
            </w:pPr>
            <w:r>
              <w:t xml:space="preserve">Founders built both prototypes; two papers; bench results</w:t>
            </w:r>
          </w:p>
        </w:tc>
      </w:tr>
      <w:tr>
        <w:tc>
          <w:tcPr/>
          <w:p>
            <w:pPr>
              <w:pStyle w:val="Compact"/>
              <w:jc w:val="left"/>
            </w:pPr>
            <w:r>
              <w:t xml:space="preserve">Evidence from own customers</w:t>
            </w:r>
          </w:p>
        </w:tc>
        <w:tc>
          <w:tcPr/>
          <w:p>
            <w:pPr>
              <w:pStyle w:val="Compact"/>
              <w:jc w:val="left"/>
            </w:pPr>
            <w:r>
              <w:t xml:space="preserve">1</w:t>
            </w:r>
          </w:p>
        </w:tc>
        <w:tc>
          <w:tcPr/>
          <w:p>
            <w:pPr>
              <w:pStyle w:val="Compact"/>
              <w:jc w:val="left"/>
            </w:pPr>
            <w:r>
              <w:t xml:space="preserve">Own interviews pending (see M1.1)</w:t>
            </w:r>
          </w:p>
        </w:tc>
      </w:tr>
      <w:tr>
        <w:tc>
          <w:tcPr/>
          <w:p>
            <w:pPr>
              <w:pStyle w:val="Compact"/>
              <w:jc w:val="left"/>
            </w:pPr>
            <w:r>
              <w:rPr>
                <w:bCs/>
                <w:b/>
              </w:rPr>
              <w:t xml:space="preserve">Total</w:t>
            </w:r>
          </w:p>
        </w:tc>
        <w:tc>
          <w:tcPr/>
          <w:p>
            <w:pPr>
              <w:pStyle w:val="Compact"/>
              <w:jc w:val="left"/>
            </w:pPr>
            <w:r>
              <w:rPr>
                <w:bCs/>
                <w:b/>
              </w:rPr>
              <w:t xml:space="preserve">22 / 35</w:t>
            </w:r>
          </w:p>
        </w:tc>
        <w:tc>
          <w:tcPr/>
          <w:p>
            <w:pPr>
              <w:pStyle w:val="Compact"/>
              <w:jc w:val="left"/>
            </w:pPr>
            <w:r>
              <w:t xml:space="preserve">Strong on problem and timing; weakest on own-customer and pricing evidence</w:t>
            </w:r>
          </w:p>
        </w:tc>
      </w:tr>
    </w:tbl>
    <w:bookmarkEnd w:id="35"/>
    <w:bookmarkEnd w:id="36"/>
    <w:bookmarkStart w:id="43" w:name="M1.3"/>
    <w:p>
      <w:pPr>
        <w:pStyle w:val="BodyText"/>
      </w:pPr>
      <w:r>
        <w:t xml:space="preserve">M1 · Activity 3 · Mandatory Model M1.3</w:t>
      </w:r>
    </w:p>
    <w:bookmarkStart w:id="37" w:name="venture-money-model-first-budget-pack"/>
    <w:p>
      <w:pPr>
        <w:pStyle w:val="Heading1"/>
      </w:pPr>
      <w:r>
        <w:t xml:space="preserve">Venture Money-Model &amp; First-Budget Pack</w:t>
      </w:r>
    </w:p>
    <w:tbl>
      <w:tblPr>
        <w:tblStyle w:val="Table"/>
        <w:tblW w:type="auto" w:w="0"/>
        <w:tblLook w:firstRow="0" w:lastRow="0" w:firstColumn="0" w:lastColumn="0" w:noHBand="0" w:noVBand="0" w:val="0000"/>
        <w:jc w:val="start"/>
      </w:tblPr>
      <w:tblGrid>
        <w:gridCol w:w="1980"/>
        <w:gridCol w:w="1980"/>
        <w:gridCol w:w="1980"/>
        <w:gridCol w:w="1980"/>
      </w:tblGrid>
      <w:tr>
        <w:tc>
          <w:tcPr/>
          <w:p>
            <w:pPr>
              <w:pStyle w:val="Compact"/>
              <w:jc w:val="left"/>
            </w:pPr>
            <w:r>
              <w:rPr>
                <w:bCs/>
                <w:b/>
              </w:rPr>
              <w:t xml:space="preserve">Module</w:t>
            </w:r>
            <w:r>
              <w:t xml:space="preserve"> </w:t>
            </w:r>
            <w:r>
              <w:t xml:space="preserve">1</w:t>
            </w:r>
          </w:p>
        </w:tc>
        <w:tc>
          <w:tcPr/>
          <w:p>
            <w:pPr>
              <w:pStyle w:val="Compact"/>
              <w:jc w:val="left"/>
            </w:pPr>
            <w:r>
              <w:rPr>
                <w:bCs/>
                <w:b/>
              </w:rPr>
              <w:t xml:space="preserve">Activity</w:t>
            </w:r>
            <w:r>
              <w:t xml:space="preserve"> </w:t>
            </w:r>
            <w:r>
              <w:t xml:space="preserve">3</w:t>
            </w:r>
          </w:p>
        </w:tc>
        <w:tc>
          <w:tcPr/>
          <w:p>
            <w:pPr>
              <w:pStyle w:val="Compact"/>
              <w:jc w:val="left"/>
            </w:pPr>
            <w:r>
              <w:rPr>
                <w:bCs/>
                <w:b/>
              </w:rPr>
              <w:t xml:space="preserve">Date completed</w:t>
            </w:r>
            <w:r>
              <w:t xml:space="preserve"> </w:t>
            </w:r>
            <w:r>
              <w:t xml:space="preserve">26 Aug 2026</w:t>
            </w:r>
          </w:p>
        </w:tc>
        <w:tc>
          <w:tcPr/>
          <w:p>
            <w:pPr>
              <w:pStyle w:val="Compact"/>
              <w:jc w:val="left"/>
            </w:pPr>
            <w:r>
              <w:rPr>
                <w:bCs/>
                <w:b/>
              </w:rPr>
              <w:t xml:space="preserve">Venture</w:t>
            </w:r>
            <w:r>
              <w:t xml:space="preserve"> </w:t>
            </w:r>
            <w:r>
              <w:t xml:space="preserve">AVERRA</w:t>
            </w:r>
          </w:p>
        </w:tc>
      </w:tr>
      <w:tr>
        <w:tc>
          <w:tcPr>
            <w:gridSpan w:val="4"/>
          </w:tcPr>
          <w:p>
            <w:pPr>
              <w:pStyle w:val="Compact"/>
              <w:jc w:val="left"/>
            </w:pPr>
            <w:r>
              <w:rPr>
                <w:bCs/>
                <w:b/>
              </w:rPr>
              <w:t xml:space="preserve">Evidence status:</w:t>
            </w:r>
            <w:r>
              <w:t xml:space="preserve"> </w:t>
            </w:r>
            <w:r>
              <w:t xml:space="preserve">Completed · model figures</w:t>
            </w:r>
          </w:p>
        </w:tc>
      </w:tr>
      <w:tr>
        <w:tc>
          <w:tcPr>
            <w:gridSpan w:val="4"/>
          </w:tcPr>
          <w:p>
            <w:pPr>
              <w:pStyle w:val="Compact"/>
              <w:jc w:val="left"/>
            </w:pPr>
            <w:r>
              <w:t xml:space="preserve">Data note: Budget lines come from the financial model; personal savings and expenses are illustrative.</w:t>
            </w:r>
          </w:p>
        </w:tc>
      </w:tr>
    </w:tbl>
    <w:bookmarkEnd w:id="37"/>
    <w:bookmarkStart w:id="38" w:name="the-money-model-on-one-page"/>
    <w:p>
      <w:pPr>
        <w:pStyle w:val="Heading2"/>
      </w:pPr>
      <w:r>
        <w:t xml:space="preserve">1. The money model on one page</w:t>
      </w:r>
    </w:p>
    <w:tbl>
      <w:tblPr>
        <w:tblStyle w:val="Table"/>
        <w:tblW w:type="pct" w:w="5000"/>
        <w:tblLook w:firstRow="1" w:lastRow="0" w:firstColumn="0" w:lastColumn="0" w:noHBand="0" w:noVBand="0" w:val="0020"/>
        <w:jc w:val="start"/>
      </w:tblPr>
      <w:tblGrid>
        <w:gridCol w:w="1584"/>
        <w:gridCol w:w="1425"/>
        <w:gridCol w:w="1584"/>
        <w:gridCol w:w="1108"/>
        <w:gridCol w:w="2217"/>
      </w:tblGrid>
      <w:tr>
        <w:trPr>
          <w:tblHeader w:val="true"/>
        </w:trPr>
        <w:tc>
          <w:tcPr/>
          <w:p>
            <w:pPr>
              <w:pStyle w:val="Compact"/>
              <w:jc w:val="left"/>
            </w:pPr>
            <w:r>
              <w:t xml:space="preserve">What we sell</w:t>
            </w:r>
          </w:p>
        </w:tc>
        <w:tc>
          <w:tcPr/>
          <w:p>
            <w:pPr>
              <w:pStyle w:val="Compact"/>
              <w:jc w:val="left"/>
            </w:pPr>
            <w:r>
              <w:t xml:space="preserve">Who pays</w:t>
            </w:r>
          </w:p>
        </w:tc>
        <w:tc>
          <w:tcPr/>
          <w:p>
            <w:pPr>
              <w:pStyle w:val="Compact"/>
              <w:jc w:val="left"/>
            </w:pPr>
            <w:r>
              <w:t xml:space="preserve">How much</w:t>
            </w:r>
          </w:p>
        </w:tc>
        <w:tc>
          <w:tcPr/>
          <w:p>
            <w:pPr>
              <w:pStyle w:val="Compact"/>
              <w:jc w:val="left"/>
            </w:pPr>
            <w:r>
              <w:t xml:space="preserve">How often</w:t>
            </w:r>
          </w:p>
        </w:tc>
        <w:tc>
          <w:tcPr/>
          <w:p>
            <w:pPr>
              <w:pStyle w:val="Compact"/>
              <w:jc w:val="left"/>
            </w:pPr>
            <w:r>
              <w:t xml:space="preserve">Cost to deliver one unit</w:t>
            </w:r>
          </w:p>
        </w:tc>
      </w:tr>
      <w:tr>
        <w:tc>
          <w:tcPr/>
          <w:p>
            <w:pPr>
              <w:pStyle w:val="Compact"/>
              <w:jc w:val="left"/>
            </w:pPr>
            <w:r>
              <w:t xml:space="preserve">TremoSense active stabilising spoon (sale; rental option)</w:t>
            </w:r>
          </w:p>
        </w:tc>
        <w:tc>
          <w:tcPr/>
          <w:p>
            <w:pPr>
              <w:pStyle w:val="Compact"/>
              <w:jc w:val="left"/>
            </w:pPr>
            <w:r>
              <w:t xml:space="preserve">Family of the person with tremor, referred by a clinic or OT centre</w:t>
            </w:r>
          </w:p>
        </w:tc>
        <w:tc>
          <w:tcPr/>
          <w:p>
            <w:pPr>
              <w:pStyle w:val="Compact"/>
              <w:jc w:val="left"/>
            </w:pPr>
            <w:r>
              <w:t xml:space="preserve">₹9,999 incl. 5% GST (planned); ₹8,999 from M19; rental ₹799/month</w:t>
            </w:r>
          </w:p>
        </w:tc>
        <w:tc>
          <w:tcPr/>
          <w:p>
            <w:pPr>
              <w:pStyle w:val="Compact"/>
              <w:jc w:val="left"/>
            </w:pPr>
            <w:r>
              <w:t xml:space="preserve">Once per ≈3-year device life</w:t>
            </w:r>
          </w:p>
        </w:tc>
        <w:tc>
          <w:tcPr/>
          <w:p>
            <w:pPr>
              <w:pStyle w:val="Compact"/>
              <w:jc w:val="left"/>
            </w:pPr>
            <w:r>
              <w:t xml:space="preserve">₹4,830 small-batch COGS + 15% clinic margin + 5% warranty + ₹250 shipping → contribution ₹2,538</w:t>
            </w:r>
          </w:p>
        </w:tc>
      </w:tr>
      <w:tr>
        <w:tc>
          <w:tcPr/>
          <w:p>
            <w:pPr>
              <w:pStyle w:val="Compact"/>
              <w:jc w:val="left"/>
            </w:pPr>
            <w:r>
              <w:t xml:space="preserve">ParkinSense wellness band + optional insights plan</w:t>
            </w:r>
          </w:p>
        </w:tc>
        <w:tc>
          <w:tcPr/>
          <w:p>
            <w:pPr>
              <w:pStyle w:val="Compact"/>
              <w:jc w:val="left"/>
            </w:pPr>
            <w:r>
              <w:t xml:space="preserve">The user, online</w:t>
            </w:r>
          </w:p>
        </w:tc>
        <w:tc>
          <w:tcPr/>
          <w:p>
            <w:pPr>
              <w:pStyle w:val="Compact"/>
              <w:jc w:val="left"/>
            </w:pPr>
            <w:r>
              <w:t xml:space="preserve">₹7,999 incl. 18% GST + optional ₹199/month</w:t>
            </w:r>
          </w:p>
        </w:tc>
        <w:tc>
          <w:tcPr/>
          <w:p>
            <w:pPr>
              <w:pStyle w:val="Compact"/>
              <w:jc w:val="left"/>
            </w:pPr>
            <w:r>
              <w:t xml:space="preserve">Device once; plan monthly (40% take-up assumed)</w:t>
            </w:r>
          </w:p>
        </w:tc>
        <w:tc>
          <w:tcPr/>
          <w:p>
            <w:pPr>
              <w:pStyle w:val="Compact"/>
              <w:jc w:val="left"/>
            </w:pPr>
            <w:r>
              <w:t xml:space="preserve">₹3,530 COGS + 10% online fees + warranty + shipping → contribution ₹1,982</w:t>
            </w:r>
          </w:p>
        </w:tc>
      </w:tr>
      <w:tr>
        <w:tc>
          <w:tcPr/>
          <w:p>
            <w:pPr>
              <w:pStyle w:val="Compact"/>
              <w:jc w:val="left"/>
            </w:pPr>
            <w:r>
              <w:t xml:space="preserve">Research-use (RUO) kits</w:t>
            </w:r>
          </w:p>
        </w:tc>
        <w:tc>
          <w:tcPr/>
          <w:p>
            <w:pPr>
              <w:pStyle w:val="Compact"/>
              <w:jc w:val="left"/>
            </w:pPr>
            <w:r>
              <w:t xml:space="preserve">University labs</w:t>
            </w:r>
          </w:p>
        </w:tc>
        <w:tc>
          <w:tcPr/>
          <w:p>
            <w:pPr>
              <w:pStyle w:val="Compact"/>
              <w:jc w:val="left"/>
            </w:pPr>
            <w:r>
              <w:t xml:space="preserve">₹74,999 per kit</w:t>
            </w:r>
          </w:p>
        </w:tc>
        <w:tc>
          <w:tcPr/>
          <w:p>
            <w:pPr>
              <w:pStyle w:val="Compact"/>
              <w:jc w:val="left"/>
            </w:pPr>
            <w:r>
              <w:t xml:space="preserve">One-off</w:t>
            </w:r>
          </w:p>
        </w:tc>
        <w:tc>
          <w:tcPr/>
          <w:p>
            <w:pPr>
              <w:pStyle w:val="Compact"/>
              <w:jc w:val="left"/>
            </w:pPr>
            <w:r>
              <w:t xml:space="preserve">₹22,650 → contribution ₹40,658</w:t>
            </w:r>
          </w:p>
        </w:tc>
      </w:tr>
    </w:tbl>
    <w:p>
      <w:pPr>
        <w:pStyle w:val="BodyText"/>
      </w:pPr>
      <w:r>
        <w:rPr>
          <w:bCs/>
          <w:b/>
        </w:rPr>
        <w:t xml:space="preserve">Revenue-model choice, defended:</w:t>
      </w:r>
      <w:r>
        <w:t xml:space="preserve"> </w:t>
      </w:r>
      <w:r>
        <w:t xml:space="preserve">a one-time device sale (with rental for families who cannot pay upfront) fits an assistive product bought once by a family, and keeps every unit profitable from the first sale. A subscription is offered only on ParkinSense, where ongoing insights create ongoing value; it is optional, so it never blocks access.</w:t>
      </w:r>
    </w:p>
    <w:p>
      <w:pPr>
        <w:pStyle w:val="BodyText"/>
      </w:pPr>
      <w:r>
        <w:rPr>
          <w:bCs/>
          <w:b/>
        </w:rPr>
        <w:t xml:space="preserve">Brand positioning (Digital Marketing I):</w:t>
      </w:r>
      <w:r>
        <w:t xml:space="preserve"> </w:t>
      </w:r>
      <w:r>
        <w:t xml:space="preserve">For people who want to understand how they move, and for people whose tremor makes eating hard, AVERRA is a biomedical wearables company that turns precise movement sensing into everyday insight (ParkinSense) and active assistance (TremoSense), at prices built for India.</w:t>
      </w:r>
      <w:r>
        <w:t xml:space="preserve"> </w:t>
      </w:r>
      <w:r>
        <w:rPr>
          <w:bCs/>
          <w:b/>
        </w:rPr>
        <w:t xml:space="preserve">Organic channels:</w:t>
      </w:r>
      <w:r>
        <w:t xml:space="preserve"> </w:t>
      </w:r>
      <w:r>
        <w:t xml:space="preserve">neurologist and OT referrals, Parkinson's and ET support groups, LinkedIn and YouTube demo videos of the bench rig, the AVERRA website.</w:t>
      </w:r>
    </w:p>
    <w:bookmarkEnd w:id="38"/>
    <w:bookmarkStart w:id="41" w:name="X4f41a79598c0e4f84e3b9a7a5679cadaf3172d4"/>
    <w:p>
      <w:pPr>
        <w:pStyle w:val="Heading2"/>
      </w:pPr>
      <w:r>
        <w:t xml:space="preserve">2. First three months (M1–M3, Jul–Sep 2027), zero-based from the financial model</w:t>
      </w:r>
    </w:p>
    <w:p>
      <w:pPr>
        <w:pStyle w:val="FirstParagraph"/>
      </w:pPr>
      <w:r>
        <w:t xml:space="preserve">Each line is justified from zero (what it buys), not copied forward. Source: Forecast sheet, rows for M1–M3.</w:t>
      </w:r>
    </w:p>
    <w:bookmarkStart w:id="39" w:name="one-time-costs"/>
    <w:p>
      <w:pPr>
        <w:pStyle w:val="Heading3"/>
      </w:pPr>
      <w:r>
        <w:t xml:space="preserve">One-time costs</w:t>
      </w:r>
    </w:p>
    <w:tbl>
      <w:tblPr>
        <w:tblStyle w:val="Table"/>
        <w:tblW w:type="pct" w:w="5000"/>
        <w:tblLook w:firstRow="1" w:lastRow="0" w:firstColumn="0" w:lastColumn="0" w:noHBand="0" w:noVBand="0" w:val="0020"/>
        <w:jc w:val="start"/>
      </w:tblPr>
      <w:tblGrid>
        <w:gridCol w:w="3484"/>
        <w:gridCol w:w="1108"/>
        <w:gridCol w:w="1108"/>
        <w:gridCol w:w="1108"/>
        <w:gridCol w:w="1108"/>
      </w:tblGrid>
      <w:tr>
        <w:trPr>
          <w:tblHeader w:val="true"/>
        </w:trPr>
        <w:tc>
          <w:tcPr/>
          <w:p>
            <w:pPr>
              <w:pStyle w:val="Compact"/>
              <w:jc w:val="left"/>
            </w:pPr>
            <w:r>
              <w:t xml:space="preserve">Line</w:t>
            </w:r>
          </w:p>
        </w:tc>
        <w:tc>
          <w:tcPr/>
          <w:p>
            <w:pPr>
              <w:pStyle w:val="Compact"/>
              <w:jc w:val="left"/>
            </w:pPr>
            <w:r>
              <w:t xml:space="preserve">M1</w:t>
            </w:r>
          </w:p>
        </w:tc>
        <w:tc>
          <w:tcPr/>
          <w:p>
            <w:pPr>
              <w:pStyle w:val="Compact"/>
              <w:jc w:val="left"/>
            </w:pPr>
            <w:r>
              <w:t xml:space="preserve">M2</w:t>
            </w:r>
          </w:p>
        </w:tc>
        <w:tc>
          <w:tcPr/>
          <w:p>
            <w:pPr>
              <w:pStyle w:val="Compact"/>
              <w:jc w:val="left"/>
            </w:pPr>
            <w:r>
              <w:t xml:space="preserve">M3</w:t>
            </w:r>
          </w:p>
        </w:tc>
        <w:tc>
          <w:tcPr/>
          <w:p>
            <w:pPr>
              <w:pStyle w:val="Compact"/>
              <w:jc w:val="left"/>
            </w:pPr>
            <w:r>
              <w:t xml:space="preserve">3-month total</w:t>
            </w:r>
          </w:p>
        </w:tc>
      </w:tr>
      <w:tr>
        <w:tc>
          <w:tcPr/>
          <w:p>
            <w:pPr>
              <w:pStyle w:val="Compact"/>
              <w:jc w:val="left"/>
            </w:pPr>
            <w:r>
              <w:t xml:space="preserve">Industrial design contractor</w:t>
            </w:r>
          </w:p>
        </w:tc>
        <w:tc>
          <w:tcPr/>
          <w:p>
            <w:pPr>
              <w:pStyle w:val="Compact"/>
              <w:jc w:val="left"/>
            </w:pPr>
            <w:r>
              <w:t xml:space="preserve">₹45,000</w:t>
            </w:r>
          </w:p>
        </w:tc>
        <w:tc>
          <w:tcPr/>
          <w:p>
            <w:pPr>
              <w:pStyle w:val="Compact"/>
              <w:jc w:val="left"/>
            </w:pPr>
            <w:r>
              <w:t xml:space="preserve">₹45,000</w:t>
            </w:r>
          </w:p>
        </w:tc>
        <w:tc>
          <w:tcPr/>
          <w:p>
            <w:pPr>
              <w:pStyle w:val="Compact"/>
              <w:jc w:val="left"/>
            </w:pPr>
            <w:r>
              <w:t xml:space="preserve">₹0</w:t>
            </w:r>
          </w:p>
        </w:tc>
        <w:tc>
          <w:tcPr/>
          <w:p>
            <w:pPr>
              <w:pStyle w:val="Compact"/>
              <w:jc w:val="left"/>
            </w:pPr>
            <w:r>
              <w:t xml:space="preserve">₹90,000</w:t>
            </w:r>
          </w:p>
        </w:tc>
      </w:tr>
      <w:tr>
        <w:tc>
          <w:tcPr/>
          <w:p>
            <w:pPr>
              <w:pStyle w:val="Compact"/>
              <w:jc w:val="left"/>
            </w:pPr>
            <w:r>
              <w:t xml:space="preserve">Legal, accounting, admin</w:t>
            </w:r>
          </w:p>
        </w:tc>
        <w:tc>
          <w:tcPr/>
          <w:p>
            <w:pPr>
              <w:pStyle w:val="Compact"/>
              <w:jc w:val="left"/>
            </w:pPr>
            <w:r>
              <w:t xml:space="preserve">₹25,000</w:t>
            </w:r>
          </w:p>
        </w:tc>
        <w:tc>
          <w:tcPr/>
          <w:p>
            <w:pPr>
              <w:pStyle w:val="Compact"/>
              <w:jc w:val="left"/>
            </w:pPr>
            <w:r>
              <w:t xml:space="preserve">₹12,000</w:t>
            </w:r>
          </w:p>
        </w:tc>
        <w:tc>
          <w:tcPr/>
          <w:p>
            <w:pPr>
              <w:pStyle w:val="Compact"/>
              <w:jc w:val="left"/>
            </w:pPr>
            <w:r>
              <w:t xml:space="preserve">₹12,000</w:t>
            </w:r>
          </w:p>
        </w:tc>
        <w:tc>
          <w:tcPr/>
          <w:p>
            <w:pPr>
              <w:pStyle w:val="Compact"/>
              <w:jc w:val="left"/>
            </w:pPr>
            <w:r>
              <w:t xml:space="preserve">₹49,000</w:t>
            </w:r>
          </w:p>
        </w:tc>
      </w:tr>
      <w:tr>
        <w:tc>
          <w:tcPr/>
          <w:p>
            <w:pPr>
              <w:pStyle w:val="Compact"/>
              <w:jc w:val="left"/>
            </w:pPr>
            <w:r>
              <w:t xml:space="preserve">Patent: attorney + filing fees</w:t>
            </w:r>
          </w:p>
        </w:tc>
        <w:tc>
          <w:tcPr/>
          <w:p>
            <w:pPr>
              <w:pStyle w:val="Compact"/>
              <w:jc w:val="left"/>
            </w:pPr>
            <w:r>
              <w:t xml:space="preserve">₹0</w:t>
            </w:r>
          </w:p>
        </w:tc>
        <w:tc>
          <w:tcPr/>
          <w:p>
            <w:pPr>
              <w:pStyle w:val="Compact"/>
              <w:jc w:val="left"/>
            </w:pPr>
            <w:r>
              <w:t xml:space="preserve">₹55,000</w:t>
            </w:r>
          </w:p>
        </w:tc>
        <w:tc>
          <w:tcPr/>
          <w:p>
            <w:pPr>
              <w:pStyle w:val="Compact"/>
              <w:jc w:val="left"/>
            </w:pPr>
            <w:r>
              <w:t xml:space="preserve">₹0</w:t>
            </w:r>
          </w:p>
        </w:tc>
        <w:tc>
          <w:tcPr/>
          <w:p>
            <w:pPr>
              <w:pStyle w:val="Compact"/>
              <w:jc w:val="left"/>
            </w:pPr>
            <w:r>
              <w:t xml:space="preserve">₹55,000</w:t>
            </w:r>
          </w:p>
        </w:tc>
      </w:tr>
      <w:tr>
        <w:tc>
          <w:tcPr/>
          <w:p>
            <w:pPr>
              <w:pStyle w:val="Compact"/>
              <w:jc w:val="left"/>
            </w:pPr>
            <w:r>
              <w:t xml:space="preserve">TremoSense study units (12 × Scenario A cost)</w:t>
            </w:r>
          </w:p>
        </w:tc>
        <w:tc>
          <w:tcPr/>
          <w:p>
            <w:pPr>
              <w:pStyle w:val="Compact"/>
              <w:jc w:val="left"/>
            </w:pPr>
            <w:r>
              <w:t xml:space="preserve">₹0</w:t>
            </w:r>
          </w:p>
        </w:tc>
        <w:tc>
          <w:tcPr/>
          <w:p>
            <w:pPr>
              <w:pStyle w:val="Compact"/>
              <w:jc w:val="left"/>
            </w:pPr>
            <w:r>
              <w:t xml:space="preserve">₹0</w:t>
            </w:r>
          </w:p>
        </w:tc>
        <w:tc>
          <w:tcPr/>
          <w:p>
            <w:pPr>
              <w:pStyle w:val="Compact"/>
              <w:jc w:val="left"/>
            </w:pPr>
            <w:r>
              <w:t xml:space="preserve">₹58,341</w:t>
            </w:r>
          </w:p>
        </w:tc>
        <w:tc>
          <w:tcPr/>
          <w:p>
            <w:pPr>
              <w:pStyle w:val="Compact"/>
              <w:jc w:val="left"/>
            </w:pPr>
            <w:r>
              <w:t xml:space="preserve">₹58,341</w:t>
            </w:r>
          </w:p>
        </w:tc>
      </w:tr>
    </w:tbl>
    <w:bookmarkEnd w:id="39"/>
    <w:bookmarkStart w:id="40" w:name="monthly-recurring-costs"/>
    <w:p>
      <w:pPr>
        <w:pStyle w:val="Heading3"/>
      </w:pPr>
      <w:r>
        <w:t xml:space="preserve">Monthly recurring costs</w:t>
      </w:r>
    </w:p>
    <w:tbl>
      <w:tblPr>
        <w:tblStyle w:val="Table"/>
        <w:tblW w:type="pct" w:w="5000"/>
        <w:tblLook w:firstRow="1" w:lastRow="0" w:firstColumn="0" w:lastColumn="0" w:noHBand="0" w:noVBand="0" w:val="0020"/>
        <w:jc w:val="start"/>
      </w:tblPr>
      <w:tblGrid>
        <w:gridCol w:w="3484"/>
        <w:gridCol w:w="1108"/>
        <w:gridCol w:w="1108"/>
        <w:gridCol w:w="1108"/>
        <w:gridCol w:w="1108"/>
      </w:tblGrid>
      <w:tr>
        <w:trPr>
          <w:tblHeader w:val="true"/>
        </w:trPr>
        <w:tc>
          <w:tcPr/>
          <w:p>
            <w:pPr>
              <w:pStyle w:val="Compact"/>
              <w:jc w:val="left"/>
            </w:pPr>
            <w:r>
              <w:t xml:space="preserve">Line</w:t>
            </w:r>
          </w:p>
        </w:tc>
        <w:tc>
          <w:tcPr/>
          <w:p>
            <w:pPr>
              <w:pStyle w:val="Compact"/>
              <w:jc w:val="left"/>
            </w:pPr>
            <w:r>
              <w:t xml:space="preserve">M1</w:t>
            </w:r>
          </w:p>
        </w:tc>
        <w:tc>
          <w:tcPr/>
          <w:p>
            <w:pPr>
              <w:pStyle w:val="Compact"/>
              <w:jc w:val="left"/>
            </w:pPr>
            <w:r>
              <w:t xml:space="preserve">M2</w:t>
            </w:r>
          </w:p>
        </w:tc>
        <w:tc>
          <w:tcPr/>
          <w:p>
            <w:pPr>
              <w:pStyle w:val="Compact"/>
              <w:jc w:val="left"/>
            </w:pPr>
            <w:r>
              <w:t xml:space="preserve">M3</w:t>
            </w:r>
          </w:p>
        </w:tc>
        <w:tc>
          <w:tcPr/>
          <w:p>
            <w:pPr>
              <w:pStyle w:val="Compact"/>
              <w:jc w:val="left"/>
            </w:pPr>
            <w:r>
              <w:t xml:space="preserve">3-month total</w:t>
            </w:r>
          </w:p>
        </w:tc>
      </w:tr>
      <w:tr>
        <w:tc>
          <w:tcPr/>
          <w:p>
            <w:pPr>
              <w:pStyle w:val="Compact"/>
              <w:jc w:val="left"/>
            </w:pPr>
            <w:r>
              <w:t xml:space="preserve">Founder stipends (2×₹15k Phase 1 · 2×₹30k M7–24 · 2×₹45k Y3)</w:t>
            </w:r>
          </w:p>
        </w:tc>
        <w:tc>
          <w:tcPr/>
          <w:p>
            <w:pPr>
              <w:pStyle w:val="Compact"/>
              <w:jc w:val="left"/>
            </w:pPr>
            <w:r>
              <w:t xml:space="preserve">₹30,000</w:t>
            </w:r>
          </w:p>
        </w:tc>
        <w:tc>
          <w:tcPr/>
          <w:p>
            <w:pPr>
              <w:pStyle w:val="Compact"/>
              <w:jc w:val="left"/>
            </w:pPr>
            <w:r>
              <w:t xml:space="preserve">₹30,000</w:t>
            </w:r>
          </w:p>
        </w:tc>
        <w:tc>
          <w:tcPr/>
          <w:p>
            <w:pPr>
              <w:pStyle w:val="Compact"/>
              <w:jc w:val="left"/>
            </w:pPr>
            <w:r>
              <w:t xml:space="preserve">₹30,000</w:t>
            </w:r>
          </w:p>
        </w:tc>
        <w:tc>
          <w:tcPr/>
          <w:p>
            <w:pPr>
              <w:pStyle w:val="Compact"/>
              <w:jc w:val="left"/>
            </w:pPr>
            <w:r>
              <w:t xml:space="preserve">₹90,000</w:t>
            </w:r>
          </w:p>
        </w:tc>
      </w:tr>
      <w:tr>
        <w:tc>
          <w:tcPr/>
          <w:p>
            <w:pPr>
              <w:pStyle w:val="Compact"/>
              <w:jc w:val="left"/>
            </w:pPr>
            <w:r>
              <w:t xml:space="preserve">Prototyping materials</w:t>
            </w:r>
          </w:p>
        </w:tc>
        <w:tc>
          <w:tcPr/>
          <w:p>
            <w:pPr>
              <w:pStyle w:val="Compact"/>
              <w:jc w:val="left"/>
            </w:pPr>
            <w:r>
              <w:t xml:space="preserve">₹25,000</w:t>
            </w:r>
          </w:p>
        </w:tc>
        <w:tc>
          <w:tcPr/>
          <w:p>
            <w:pPr>
              <w:pStyle w:val="Compact"/>
              <w:jc w:val="left"/>
            </w:pPr>
            <w:r>
              <w:t xml:space="preserve">₹25,000</w:t>
            </w:r>
          </w:p>
        </w:tc>
        <w:tc>
          <w:tcPr/>
          <w:p>
            <w:pPr>
              <w:pStyle w:val="Compact"/>
              <w:jc w:val="left"/>
            </w:pPr>
            <w:r>
              <w:t xml:space="preserve">₹25,000</w:t>
            </w:r>
          </w:p>
        </w:tc>
        <w:tc>
          <w:tcPr/>
          <w:p>
            <w:pPr>
              <w:pStyle w:val="Compact"/>
              <w:jc w:val="left"/>
            </w:pPr>
            <w:r>
              <w:t xml:space="preserve">₹75,000</w:t>
            </w:r>
          </w:p>
        </w:tc>
      </w:tr>
      <w:tr>
        <w:tc>
          <w:tcPr/>
          <w:p>
            <w:pPr>
              <w:pStyle w:val="Compact"/>
              <w:jc w:val="left"/>
            </w:pPr>
            <w:r>
              <w:t xml:space="preserve">Tools, cloud, software</w:t>
            </w:r>
          </w:p>
        </w:tc>
        <w:tc>
          <w:tcPr/>
          <w:p>
            <w:pPr>
              <w:pStyle w:val="Compact"/>
              <w:jc w:val="left"/>
            </w:pPr>
            <w:r>
              <w:t xml:space="preserve">₹8,000</w:t>
            </w:r>
          </w:p>
        </w:tc>
        <w:tc>
          <w:tcPr/>
          <w:p>
            <w:pPr>
              <w:pStyle w:val="Compact"/>
              <w:jc w:val="left"/>
            </w:pPr>
            <w:r>
              <w:t xml:space="preserve">₹8,000</w:t>
            </w:r>
          </w:p>
        </w:tc>
        <w:tc>
          <w:tcPr/>
          <w:p>
            <w:pPr>
              <w:pStyle w:val="Compact"/>
              <w:jc w:val="left"/>
            </w:pPr>
            <w:r>
              <w:t xml:space="preserve">₹8,000</w:t>
            </w:r>
          </w:p>
        </w:tc>
        <w:tc>
          <w:tcPr/>
          <w:p>
            <w:pPr>
              <w:pStyle w:val="Compact"/>
              <w:jc w:val="left"/>
            </w:pPr>
            <w:r>
              <w:t xml:space="preserve">₹24,000</w:t>
            </w:r>
          </w:p>
        </w:tc>
      </w:tr>
    </w:tbl>
    <w:p/>
    <w:tbl>
      <w:tblPr>
        <w:tblStyle w:val="Table"/>
        <w:tblW w:type="pct" w:w="5000"/>
        <w:tblLook w:firstRow="1" w:lastRow="0" w:firstColumn="0" w:lastColumn="0" w:noHBand="0" w:noVBand="0" w:val="0020"/>
        <w:jc w:val="start"/>
      </w:tblPr>
      <w:tblGrid>
        <w:gridCol w:w="3484"/>
        <w:gridCol w:w="1108"/>
        <w:gridCol w:w="1108"/>
        <w:gridCol w:w="1108"/>
        <w:gridCol w:w="1108"/>
      </w:tblGrid>
      <w:tr>
        <w:trPr>
          <w:tblHeader w:val="true"/>
        </w:trPr>
        <w:tc>
          <w:tcPr/>
          <w:p>
            <w:pPr>
              <w:pStyle w:val="Compact"/>
            </w:pPr>
          </w:p>
        </w:tc>
        <w:tc>
          <w:tcPr/>
          <w:p>
            <w:pPr>
              <w:pStyle w:val="Compact"/>
              <w:jc w:val="left"/>
            </w:pPr>
            <w:r>
              <w:t xml:space="preserve">M1</w:t>
            </w:r>
          </w:p>
        </w:tc>
        <w:tc>
          <w:tcPr/>
          <w:p>
            <w:pPr>
              <w:pStyle w:val="Compact"/>
              <w:jc w:val="left"/>
            </w:pPr>
            <w:r>
              <w:t xml:space="preserve">M2</w:t>
            </w:r>
          </w:p>
        </w:tc>
        <w:tc>
          <w:tcPr/>
          <w:p>
            <w:pPr>
              <w:pStyle w:val="Compact"/>
              <w:jc w:val="left"/>
            </w:pPr>
            <w:r>
              <w:t xml:space="preserve">M3</w:t>
            </w:r>
          </w:p>
        </w:tc>
        <w:tc>
          <w:tcPr/>
          <w:p>
            <w:pPr>
              <w:pStyle w:val="Compact"/>
              <w:jc w:val="left"/>
            </w:pPr>
            <w:r>
              <w:t xml:space="preserve">3-month total</w:t>
            </w:r>
          </w:p>
        </w:tc>
      </w:tr>
      <w:tr>
        <w:tc>
          <w:tcPr/>
          <w:p>
            <w:pPr>
              <w:pStyle w:val="Compact"/>
              <w:jc w:val="left"/>
            </w:pPr>
            <w:r>
              <w:t xml:space="preserve">Subtotal</w:t>
            </w:r>
          </w:p>
        </w:tc>
        <w:tc>
          <w:tcPr/>
          <w:p>
            <w:pPr>
              <w:pStyle w:val="Compact"/>
              <w:jc w:val="left"/>
            </w:pPr>
            <w:r>
              <w:t xml:space="preserve">₹1,33,000</w:t>
            </w:r>
          </w:p>
        </w:tc>
        <w:tc>
          <w:tcPr/>
          <w:p>
            <w:pPr>
              <w:pStyle w:val="Compact"/>
              <w:jc w:val="left"/>
            </w:pPr>
            <w:r>
              <w:t xml:space="preserve">₹1,75,000</w:t>
            </w:r>
          </w:p>
        </w:tc>
        <w:tc>
          <w:tcPr/>
          <w:p>
            <w:pPr>
              <w:pStyle w:val="Compact"/>
              <w:jc w:val="left"/>
            </w:pPr>
            <w:r>
              <w:t xml:space="preserve">₹1,33,341</w:t>
            </w:r>
          </w:p>
        </w:tc>
        <w:tc>
          <w:tcPr/>
          <w:p>
            <w:pPr>
              <w:pStyle w:val="Compact"/>
              <w:jc w:val="left"/>
            </w:pPr>
            <w:r>
              <w:t xml:space="preserve">₹4,41,341</w:t>
            </w:r>
          </w:p>
        </w:tc>
      </w:tr>
      <w:tr>
        <w:tc>
          <w:tcPr/>
          <w:p>
            <w:pPr>
              <w:pStyle w:val="Compact"/>
              <w:jc w:val="left"/>
            </w:pPr>
            <w:r>
              <w:rPr>
                <w:bCs/>
                <w:b/>
              </w:rPr>
              <w:t xml:space="preserve">Contingency 10%</w:t>
            </w:r>
          </w:p>
        </w:tc>
        <w:tc>
          <w:tcPr/>
          <w:p>
            <w:pPr>
              <w:pStyle w:val="Compact"/>
              <w:jc w:val="left"/>
            </w:pPr>
            <w:r>
              <w:t xml:space="preserve">₹13,300</w:t>
            </w:r>
          </w:p>
        </w:tc>
        <w:tc>
          <w:tcPr/>
          <w:p>
            <w:pPr>
              <w:pStyle w:val="Compact"/>
              <w:jc w:val="left"/>
            </w:pPr>
            <w:r>
              <w:t xml:space="preserve">₹17,500</w:t>
            </w:r>
          </w:p>
        </w:tc>
        <w:tc>
          <w:tcPr/>
          <w:p>
            <w:pPr>
              <w:pStyle w:val="Compact"/>
              <w:jc w:val="left"/>
            </w:pPr>
            <w:r>
              <w:t xml:space="preserve">₹13,334</w:t>
            </w:r>
          </w:p>
        </w:tc>
        <w:tc>
          <w:tcPr/>
          <w:p>
            <w:pPr>
              <w:pStyle w:val="Compact"/>
              <w:jc w:val="left"/>
            </w:pPr>
            <w:r>
              <w:t xml:space="preserve">₹44,134</w:t>
            </w:r>
          </w:p>
        </w:tc>
      </w:tr>
      <w:tr>
        <w:tc>
          <w:tcPr/>
          <w:p>
            <w:pPr>
              <w:pStyle w:val="Compact"/>
              <w:jc w:val="left"/>
            </w:pPr>
            <w:r>
              <w:rPr>
                <w:bCs/>
                <w:b/>
              </w:rPr>
              <w:t xml:space="preserve">Total 3-month budget</w:t>
            </w:r>
          </w:p>
        </w:tc>
        <w:tc>
          <w:tcPr/>
          <w:p>
            <w:pPr>
              <w:pStyle w:val="Compact"/>
              <w:jc w:val="left"/>
            </w:pPr>
            <w:r>
              <w:rPr>
                <w:bCs/>
                <w:b/>
              </w:rPr>
              <w:t xml:space="preserve">₹1,46,300</w:t>
            </w:r>
          </w:p>
        </w:tc>
        <w:tc>
          <w:tcPr/>
          <w:p>
            <w:pPr>
              <w:pStyle w:val="Compact"/>
              <w:jc w:val="left"/>
            </w:pPr>
            <w:r>
              <w:rPr>
                <w:bCs/>
                <w:b/>
              </w:rPr>
              <w:t xml:space="preserve">₹1,92,500</w:t>
            </w:r>
          </w:p>
        </w:tc>
        <w:tc>
          <w:tcPr/>
          <w:p>
            <w:pPr>
              <w:pStyle w:val="Compact"/>
              <w:jc w:val="left"/>
            </w:pPr>
            <w:r>
              <w:rPr>
                <w:bCs/>
                <w:b/>
              </w:rPr>
              <w:t xml:space="preserve">₹1,46,676</w:t>
            </w:r>
          </w:p>
        </w:tc>
        <w:tc>
          <w:tcPr/>
          <w:p>
            <w:pPr>
              <w:pStyle w:val="Compact"/>
              <w:jc w:val="left"/>
            </w:pPr>
            <w:r>
              <w:rPr>
                <w:bCs/>
                <w:b/>
              </w:rPr>
              <w:t xml:space="preserve">₹4,85,476</w:t>
            </w:r>
          </w:p>
        </w:tc>
      </w:tr>
    </w:tbl>
    <w:bookmarkEnd w:id="40"/>
    <w:bookmarkEnd w:id="41"/>
    <w:bookmarkStart w:id="42" w:name="personal-runway"/>
    <w:p>
      <w:pPr>
        <w:pStyle w:val="Heading2"/>
      </w:pPr>
      <w:r>
        <w:t xml:space="preserve">3. Personal runway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Founder</w:t>
            </w:r>
          </w:p>
        </w:tc>
        <w:tc>
          <w:tcPr/>
          <w:p>
            <w:pPr>
              <w:pStyle w:val="Compact"/>
              <w:jc w:val="left"/>
            </w:pPr>
            <w:r>
              <w:t xml:space="preserve">Personal savings (₹)</w:t>
            </w:r>
          </w:p>
        </w:tc>
        <w:tc>
          <w:tcPr/>
          <w:p>
            <w:pPr>
              <w:pStyle w:val="Compact"/>
              <w:jc w:val="left"/>
            </w:pPr>
            <w:r>
              <w:t xml:space="preserve">Personal monthly expenses (₹)</w:t>
            </w:r>
          </w:p>
        </w:tc>
        <w:tc>
          <w:tcPr/>
          <w:p>
            <w:pPr>
              <w:pStyle w:val="Compact"/>
              <w:jc w:val="left"/>
            </w:pPr>
            <w:r>
              <w:t xml:space="preserve">Personal runway (months)</w:t>
            </w:r>
          </w:p>
        </w:tc>
      </w:tr>
      <w:tr>
        <w:tc>
          <w:tcPr/>
          <w:p>
            <w:pPr>
              <w:pStyle w:val="Compact"/>
              <w:jc w:val="left"/>
            </w:pPr>
            <w:r>
              <w:t xml:space="preserve">Pranshu Kumar</w:t>
            </w:r>
          </w:p>
        </w:tc>
        <w:tc>
          <w:tcPr/>
          <w:p>
            <w:pPr>
              <w:pStyle w:val="Compact"/>
              <w:jc w:val="left"/>
            </w:pPr>
            <w:r>
              <w:t xml:space="preserve">₹60,000</w:t>
            </w:r>
          </w:p>
        </w:tc>
        <w:tc>
          <w:tcPr/>
          <w:p>
            <w:pPr>
              <w:pStyle w:val="Compact"/>
              <w:jc w:val="left"/>
            </w:pPr>
            <w:r>
              <w:t xml:space="preserve">₹8,000</w:t>
            </w:r>
          </w:p>
        </w:tc>
        <w:tc>
          <w:tcPr/>
          <w:p>
            <w:pPr>
              <w:pStyle w:val="Compact"/>
              <w:jc w:val="left"/>
            </w:pPr>
            <w:r>
              <w:t xml:space="preserve">60,000 ÷ 8,000 = 7.5</w:t>
            </w:r>
          </w:p>
        </w:tc>
      </w:tr>
      <w:tr>
        <w:tc>
          <w:tcPr/>
          <w:p>
            <w:pPr>
              <w:pStyle w:val="Compact"/>
              <w:jc w:val="left"/>
            </w:pPr>
            <w:r>
              <w:t xml:space="preserve">Pawan Shinde</w:t>
            </w:r>
          </w:p>
        </w:tc>
        <w:tc>
          <w:tcPr/>
          <w:p>
            <w:pPr>
              <w:pStyle w:val="Compact"/>
              <w:jc w:val="left"/>
            </w:pPr>
            <w:r>
              <w:t xml:space="preserve">₹45,000</w:t>
            </w:r>
          </w:p>
        </w:tc>
        <w:tc>
          <w:tcPr/>
          <w:p>
            <w:pPr>
              <w:pStyle w:val="Compact"/>
              <w:jc w:val="left"/>
            </w:pPr>
            <w:r>
              <w:t xml:space="preserve">₹7,500</w:t>
            </w:r>
          </w:p>
        </w:tc>
        <w:tc>
          <w:tcPr/>
          <w:p>
            <w:pPr>
              <w:pStyle w:val="Compact"/>
              <w:jc w:val="left"/>
            </w:pPr>
            <w:r>
              <w:t xml:space="preserve">45,000 ÷ 7,500 = 6.0</w:t>
            </w:r>
          </w:p>
        </w:tc>
      </w:tr>
    </w:tbl>
    <w:p>
      <w:pPr>
        <w:pStyle w:val="BodyText"/>
      </w:pPr>
      <w:r>
        <w:t xml:space="preserve">Context from the plan: each founder draws a ₹15,000/month stipend in Phase 1 (M1–M6), ₹30,000 in M7–M24 and ₹45,000 in Year 3 (Forecast sheet). Personal runway shows how long each founder can continue if stipends are deferred.</w:t>
      </w:r>
    </w:p>
    <w:bookmarkEnd w:id="42"/>
    <w:bookmarkEnd w:id="43"/>
    <w:bookmarkStart w:id="50" w:name="M2.1"/>
    <w:p>
      <w:pPr>
        <w:pStyle w:val="BodyText"/>
      </w:pPr>
      <w:r>
        <w:t xml:space="preserve">M2 · Activity 1 · Mandatory Model M2.1</w:t>
      </w:r>
    </w:p>
    <w:bookmarkStart w:id="44" w:name="Xeb441ce70dedc223a25f838928fd70eee0f1a4f"/>
    <w:p>
      <w:pPr>
        <w:pStyle w:val="Heading1"/>
      </w:pPr>
      <w:r>
        <w:t xml:space="preserve">Evidence-Backed Business Model Canvas + Value Proposition Canvas</w:t>
      </w:r>
    </w:p>
    <w:tbl>
      <w:tblPr>
        <w:tblStyle w:val="Table"/>
        <w:tblW w:type="auto" w:w="0"/>
        <w:tblLook w:firstRow="0" w:lastRow="0" w:firstColumn="0" w:lastColumn="0" w:noHBand="0" w:noVBand="0" w:val="0000"/>
        <w:jc w:val="start"/>
      </w:tblPr>
      <w:tblGrid>
        <w:gridCol w:w="1980"/>
        <w:gridCol w:w="1980"/>
        <w:gridCol w:w="1980"/>
        <w:gridCol w:w="1980"/>
      </w:tblGrid>
      <w:tr>
        <w:tc>
          <w:tcPr/>
          <w:p>
            <w:pPr>
              <w:pStyle w:val="Compact"/>
              <w:jc w:val="left"/>
            </w:pPr>
            <w:r>
              <w:rPr>
                <w:bCs/>
                <w:b/>
              </w:rPr>
              <w:t xml:space="preserve">Module</w:t>
            </w:r>
            <w:r>
              <w:t xml:space="preserve"> </w:t>
            </w:r>
            <w:r>
              <w:t xml:space="preserve">2</w:t>
            </w:r>
          </w:p>
        </w:tc>
        <w:tc>
          <w:tcPr/>
          <w:p>
            <w:pPr>
              <w:pStyle w:val="Compact"/>
              <w:jc w:val="left"/>
            </w:pPr>
            <w:r>
              <w:rPr>
                <w:bCs/>
                <w:b/>
              </w:rPr>
              <w:t xml:space="preserve">Activity</w:t>
            </w:r>
            <w:r>
              <w:t xml:space="preserve"> </w:t>
            </w:r>
            <w:r>
              <w:t xml:space="preserve">1</w:t>
            </w:r>
          </w:p>
        </w:tc>
        <w:tc>
          <w:tcPr/>
          <w:p>
            <w:pPr>
              <w:pStyle w:val="Compact"/>
              <w:jc w:val="left"/>
            </w:pPr>
            <w:r>
              <w:rPr>
                <w:bCs/>
                <w:b/>
              </w:rPr>
              <w:t xml:space="preserve">Date completed</w:t>
            </w:r>
            <w:r>
              <w:t xml:space="preserve"> </w:t>
            </w:r>
            <w:r>
              <w:t xml:space="preserve">2 Sep 2026</w:t>
            </w:r>
          </w:p>
        </w:tc>
        <w:tc>
          <w:tcPr/>
          <w:p>
            <w:pPr>
              <w:pStyle w:val="Compact"/>
              <w:jc w:val="left"/>
            </w:pPr>
            <w:r>
              <w:rPr>
                <w:bCs/>
                <w:b/>
              </w:rPr>
              <w:t xml:space="preserve">Venture</w:t>
            </w:r>
            <w:r>
              <w:t xml:space="preserve"> </w:t>
            </w:r>
            <w:r>
              <w:t xml:space="preserve">AVERRA</w:t>
            </w:r>
          </w:p>
        </w:tc>
      </w:tr>
      <w:tr>
        <w:tc>
          <w:tcPr>
            <w:gridSpan w:val="4"/>
          </w:tcPr>
          <w:p>
            <w:pPr>
              <w:pStyle w:val="Compact"/>
              <w:jc w:val="left"/>
            </w:pPr>
            <w:r>
              <w:rPr>
                <w:bCs/>
                <w:b/>
              </w:rPr>
              <w:t xml:space="preserve">Evidence status:</w:t>
            </w:r>
            <w:r>
              <w:t xml:space="preserve"> </w:t>
            </w:r>
            <w:r>
              <w:t xml:space="preserve">Completed</w:t>
            </w:r>
          </w:p>
        </w:tc>
      </w:tr>
      <w:tr>
        <w:tc>
          <w:tcPr>
            <w:gridSpan w:val="4"/>
          </w:tcPr>
          <w:p>
            <w:pPr>
              <w:pStyle w:val="Compact"/>
              <w:jc w:val="left"/>
            </w:pPr>
            <w:r>
              <w:t xml:space="preserve">Data note: Each block is classed as evidence-backed or assumption.</w:t>
            </w:r>
          </w:p>
        </w:tc>
      </w:tr>
    </w:tbl>
    <w:bookmarkEnd w:id="44"/>
    <w:bookmarkStart w:id="45" w:name="business-model-canvas-all-nine-blocks"/>
    <w:p>
      <w:pPr>
        <w:pStyle w:val="Heading2"/>
      </w:pPr>
      <w:r>
        <w:t xml:space="preserve">1. Business Model Canvas (all nine blocks)</w:t>
      </w:r>
    </w:p>
    <w:tbl>
      <w:tblPr>
        <w:tblStyle w:val="Table"/>
        <w:tblW w:type="pct" w:w="5000"/>
        <w:tblLook w:firstRow="1" w:lastRow="0" w:firstColumn="0" w:lastColumn="0" w:noHBand="0" w:noVBand="0" w:val="0020"/>
        <w:jc w:val="start"/>
      </w:tblPr>
      <w:tblGrid>
        <w:gridCol w:w="1584"/>
        <w:gridCol w:w="4118"/>
        <w:gridCol w:w="2217"/>
      </w:tblGrid>
      <w:tr>
        <w:trPr>
          <w:tblHeader w:val="true"/>
        </w:trPr>
        <w:tc>
          <w:tcPr/>
          <w:p>
            <w:pPr>
              <w:pStyle w:val="Compact"/>
              <w:jc w:val="left"/>
            </w:pPr>
            <w:r>
              <w:t xml:space="preserve">Block</w:t>
            </w:r>
          </w:p>
        </w:tc>
        <w:tc>
          <w:tcPr/>
          <w:p>
            <w:pPr>
              <w:pStyle w:val="Compact"/>
              <w:jc w:val="left"/>
            </w:pPr>
            <w:r>
              <w:t xml:space="preserve">AVERRA</w:t>
            </w:r>
          </w:p>
        </w:tc>
        <w:tc>
          <w:tcPr/>
          <w:p>
            <w:pPr>
              <w:pStyle w:val="Compact"/>
              <w:jc w:val="left"/>
            </w:pPr>
            <w:r>
              <w:t xml:space="preserve">Evidence-backed or assumption?</w:t>
            </w:r>
          </w:p>
        </w:tc>
      </w:tr>
      <w:tr>
        <w:tc>
          <w:tcPr/>
          <w:p>
            <w:pPr>
              <w:pStyle w:val="Compact"/>
              <w:jc w:val="left"/>
            </w:pPr>
            <w:r>
              <w:rPr>
                <w:bCs/>
                <w:b/>
              </w:rPr>
              <w:t xml:space="preserve">Customer segments</w:t>
            </w:r>
          </w:p>
        </w:tc>
        <w:tc>
          <w:tcPr/>
          <w:p>
            <w:pPr>
              <w:pStyle w:val="Compact"/>
              <w:jc w:val="left"/>
            </w:pPr>
            <w:r>
              <w:t xml:space="preserve">Everyday wearable users; households living with Parkinson's or essential tremor; research labs</w:t>
            </w:r>
          </w:p>
        </w:tc>
        <w:tc>
          <w:tcPr/>
          <w:p>
            <w:pPr>
              <w:pStyle w:val="Compact"/>
              <w:jc w:val="left"/>
            </w:pPr>
            <w:r>
              <w:t xml:space="preserve">Assumption (sizes from published prevalence)</w:t>
            </w:r>
          </w:p>
        </w:tc>
      </w:tr>
      <w:tr>
        <w:tc>
          <w:tcPr/>
          <w:p>
            <w:pPr>
              <w:pStyle w:val="Compact"/>
              <w:jc w:val="left"/>
            </w:pPr>
            <w:r>
              <w:rPr>
                <w:bCs/>
                <w:b/>
              </w:rPr>
              <w:t xml:space="preserve">Value propositions</w:t>
            </w:r>
          </w:p>
        </w:tc>
        <w:tc>
          <w:tcPr/>
          <w:p>
            <w:pPr>
              <w:pStyle w:val="Compact"/>
              <w:jc w:val="left"/>
            </w:pPr>
            <w:r>
              <w:t xml:space="preserve">ParkinSense: a wearable for everyone with built-in tremor detection. TremoSense: active tremor assistance at an Indian price</w:t>
            </w:r>
          </w:p>
        </w:tc>
        <w:tc>
          <w:tcPr/>
          <w:p>
            <w:pPr>
              <w:pStyle w:val="Compact"/>
              <w:jc w:val="left"/>
            </w:pPr>
            <w:r>
              <w:t xml:space="preserve">Partly evidenced (bench results; no user study)</w:t>
            </w:r>
          </w:p>
        </w:tc>
      </w:tr>
      <w:tr>
        <w:tc>
          <w:tcPr/>
          <w:p>
            <w:pPr>
              <w:pStyle w:val="Compact"/>
              <w:jc w:val="left"/>
            </w:pPr>
            <w:r>
              <w:rPr>
                <w:bCs/>
                <w:b/>
              </w:rPr>
              <w:t xml:space="preserve">Channels</w:t>
            </w:r>
          </w:p>
        </w:tc>
        <w:tc>
          <w:tcPr/>
          <w:p>
            <w:pPr>
              <w:pStyle w:val="Compact"/>
              <w:jc w:val="left"/>
            </w:pPr>
            <w:r>
              <w:t xml:space="preserve">Clinic and OT referral; direct online; institutional procurement</w:t>
            </w:r>
          </w:p>
        </w:tc>
        <w:tc>
          <w:tcPr/>
          <w:p>
            <w:pPr>
              <w:pStyle w:val="Compact"/>
              <w:jc w:val="left"/>
            </w:pPr>
            <w:r>
              <w:t xml:space="preserve">Assumption</w:t>
            </w:r>
          </w:p>
        </w:tc>
      </w:tr>
      <w:tr>
        <w:tc>
          <w:tcPr/>
          <w:p>
            <w:pPr>
              <w:pStyle w:val="Compact"/>
              <w:jc w:val="left"/>
            </w:pPr>
            <w:r>
              <w:rPr>
                <w:bCs/>
                <w:b/>
              </w:rPr>
              <w:t xml:space="preserve">Customer relationships</w:t>
            </w:r>
          </w:p>
        </w:tc>
        <w:tc>
          <w:tcPr/>
          <w:p>
            <w:pPr>
              <w:pStyle w:val="Compact"/>
              <w:jc w:val="left"/>
            </w:pPr>
            <w:r>
              <w:t xml:space="preserve">Clinic-assisted trial; caregiver onboarding; remote support</w:t>
            </w:r>
          </w:p>
        </w:tc>
        <w:tc>
          <w:tcPr/>
          <w:p>
            <w:pPr>
              <w:pStyle w:val="Compact"/>
              <w:jc w:val="left"/>
            </w:pPr>
            <w:r>
              <w:t xml:space="preserve">Assumption</w:t>
            </w:r>
          </w:p>
        </w:tc>
      </w:tr>
      <w:tr>
        <w:tc>
          <w:tcPr/>
          <w:p>
            <w:pPr>
              <w:pStyle w:val="Compact"/>
              <w:jc w:val="left"/>
            </w:pPr>
            <w:r>
              <w:rPr>
                <w:bCs/>
                <w:b/>
              </w:rPr>
              <w:t xml:space="preserve">Revenue streams</w:t>
            </w:r>
          </w:p>
        </w:tc>
        <w:tc>
          <w:tcPr/>
          <w:p>
            <w:pPr>
              <w:pStyle w:val="Compact"/>
              <w:jc w:val="left"/>
            </w:pPr>
            <w:r>
              <w:t xml:space="preserve">TremoSense sale ₹9,999 or rental ₹799/mo; ParkinSense ₹7,999 + optional ₹199/mo; RUO kits ₹74,999</w:t>
            </w:r>
          </w:p>
        </w:tc>
        <w:tc>
          <w:tcPr/>
          <w:p>
            <w:pPr>
              <w:pStyle w:val="Compact"/>
              <w:jc w:val="left"/>
            </w:pPr>
            <w:r>
              <w:t xml:space="preserve">Assumption (prices planned, untested)</w:t>
            </w:r>
          </w:p>
        </w:tc>
      </w:tr>
      <w:tr>
        <w:tc>
          <w:tcPr/>
          <w:p>
            <w:pPr>
              <w:pStyle w:val="Compact"/>
              <w:jc w:val="left"/>
            </w:pPr>
            <w:r>
              <w:rPr>
                <w:bCs/>
                <w:b/>
              </w:rPr>
              <w:t xml:space="preserve">Key resources</w:t>
            </w:r>
          </w:p>
        </w:tc>
        <w:tc>
          <w:tcPr/>
          <w:p>
            <w:pPr>
              <w:pStyle w:val="Compact"/>
              <w:jc w:val="left"/>
            </w:pPr>
            <w:r>
              <w:t xml:space="preserve">Sensing and control know-how; two working prototypes; two papers; repositories</w:t>
            </w:r>
          </w:p>
        </w:tc>
        <w:tc>
          <w:tcPr/>
          <w:p>
            <w:pPr>
              <w:pStyle w:val="Compact"/>
              <w:jc w:val="left"/>
            </w:pPr>
            <w:r>
              <w:t xml:space="preserve">Evidence-backed (repos, papers)</w:t>
            </w:r>
          </w:p>
        </w:tc>
      </w:tr>
      <w:tr>
        <w:tc>
          <w:tcPr/>
          <w:p>
            <w:pPr>
              <w:pStyle w:val="Compact"/>
              <w:jc w:val="left"/>
            </w:pPr>
            <w:r>
              <w:rPr>
                <w:bCs/>
                <w:b/>
              </w:rPr>
              <w:t xml:space="preserve">Key activities</w:t>
            </w:r>
          </w:p>
        </w:tc>
        <w:tc>
          <w:tcPr/>
          <w:p>
            <w:pPr>
              <w:pStyle w:val="Compact"/>
              <w:jc w:val="left"/>
            </w:pPr>
            <w:r>
              <w:t xml:space="preserve">User studies; CDSCO and ISO 13485; firmware and DSP; small-batch assembly</w:t>
            </w:r>
          </w:p>
        </w:tc>
        <w:tc>
          <w:tcPr/>
          <w:p>
            <w:pPr>
              <w:pStyle w:val="Compact"/>
              <w:jc w:val="left"/>
            </w:pPr>
            <w:r>
              <w:t xml:space="preserve">Evidence-backed for engineering; assumption for regulatory route</w:t>
            </w:r>
          </w:p>
        </w:tc>
      </w:tr>
      <w:tr>
        <w:tc>
          <w:tcPr/>
          <w:p>
            <w:pPr>
              <w:pStyle w:val="Compact"/>
              <w:jc w:val="left"/>
            </w:pPr>
            <w:r>
              <w:rPr>
                <w:bCs/>
                <w:b/>
              </w:rPr>
              <w:t xml:space="preserve">Key partners</w:t>
            </w:r>
          </w:p>
        </w:tc>
        <w:tc>
          <w:tcPr/>
          <w:p>
            <w:pPr>
              <w:pStyle w:val="Compact"/>
              <w:jc w:val="left"/>
            </w:pPr>
            <w:r>
              <w:t xml:space="preserve">Neurology clinics; OT centres; university labs; a test lab; a contract assembler; ICMR (clinical evaluation in progress, founder-reported)</w:t>
            </w:r>
          </w:p>
        </w:tc>
        <w:tc>
          <w:tcPr/>
          <w:p>
            <w:pPr>
              <w:pStyle w:val="Compact"/>
              <w:jc w:val="left"/>
            </w:pPr>
            <w:r>
              <w:t xml:space="preserve">Partly evidenced (ICMR founder-reported; no clinic partners yet)</w:t>
            </w:r>
          </w:p>
        </w:tc>
      </w:tr>
      <w:tr>
        <w:tc>
          <w:tcPr/>
          <w:p>
            <w:pPr>
              <w:pStyle w:val="Compact"/>
              <w:jc w:val="left"/>
            </w:pPr>
            <w:r>
              <w:rPr>
                <w:bCs/>
                <w:b/>
              </w:rPr>
              <w:t xml:space="preserve">Cost structure</w:t>
            </w:r>
          </w:p>
        </w:tc>
        <w:tc>
          <w:tcPr/>
          <w:p>
            <w:pPr>
              <w:pStyle w:val="Compact"/>
              <w:jc w:val="left"/>
            </w:pPr>
            <w:r>
              <w:t xml:space="preserve">Phase 1 ₹8.76 L: team, study units, user study, IP. Then QMS, EMC, inventory and tooling, outreach</w:t>
            </w:r>
          </w:p>
        </w:tc>
        <w:tc>
          <w:tcPr/>
          <w:p>
            <w:pPr>
              <w:pStyle w:val="Compact"/>
              <w:jc w:val="left"/>
            </w:pPr>
            <w:r>
              <w:t xml:space="preserve">Evidence-backed for component prices (Seeed, servo retailers); rest estimated</w:t>
            </w:r>
          </w:p>
        </w:tc>
      </w:tr>
    </w:tbl>
    <w:bookmarkEnd w:id="45"/>
    <w:bookmarkStart w:id="48" w:name="value-proposition-canvas"/>
    <w:p>
      <w:pPr>
        <w:pStyle w:val="Heading2"/>
      </w:pPr>
      <w:r>
        <w:t xml:space="preserve">2. Value Proposition Canvas</w:t>
      </w:r>
    </w:p>
    <w:bookmarkStart w:id="46" w:name="Xd21188fc7365f07e903397dc2dd650eb3a962c6"/>
    <w:p>
      <w:pPr>
        <w:pStyle w:val="Heading3"/>
      </w:pPr>
      <w:r>
        <w:t xml:space="preserve">TremoSense — person with tremor and their family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Customer profile</w:t>
            </w:r>
          </w:p>
        </w:tc>
        <w:tc>
          <w:tcPr/>
          <w:p>
            <w:pPr>
              <w:pStyle w:val="Compact"/>
              <w:jc w:val="left"/>
            </w:pPr>
            <w:r>
              <w:t xml:space="preserve">Value map</w:t>
            </w:r>
          </w:p>
        </w:tc>
      </w:tr>
      <w:tr>
        <w:tc>
          <w:tcPr/>
          <w:p>
            <w:pPr>
              <w:pStyle w:val="Compact"/>
              <w:jc w:val="left"/>
            </w:pPr>
            <w:r>
              <w:rPr>
                <w:bCs/>
                <w:b/>
              </w:rPr>
              <w:t xml:space="preserve">Jobs:</w:t>
            </w:r>
            <w:r>
              <w:t xml:space="preserve"> </w:t>
            </w:r>
            <w:r>
              <w:t xml:space="preserve">eat independently; eat in public without embarrassment; reduce the help needed at every meal</w:t>
            </w:r>
          </w:p>
        </w:tc>
        <w:tc>
          <w:tcPr/>
          <w:p>
            <w:pPr>
              <w:pStyle w:val="Compact"/>
              <w:jc w:val="left"/>
            </w:pPr>
            <w:r>
              <w:rPr>
                <w:bCs/>
                <w:b/>
              </w:rPr>
              <w:t xml:space="preserve">Product:</w:t>
            </w:r>
            <w:r>
              <w:t xml:space="preserve"> </w:t>
            </w:r>
            <w:r>
              <w:t xml:space="preserve">active two-axis stabilising spoon (IMU → EKF → LQR → two servos)</w:t>
            </w:r>
          </w:p>
        </w:tc>
      </w:tr>
      <w:tr>
        <w:tc>
          <w:tcPr/>
          <w:p>
            <w:pPr>
              <w:pStyle w:val="Compact"/>
              <w:jc w:val="left"/>
            </w:pPr>
            <w:r>
              <w:rPr>
                <w:bCs/>
                <w:b/>
              </w:rPr>
              <w:t xml:space="preserve">Pains:</w:t>
            </w:r>
            <w:r>
              <w:t xml:space="preserve"> </w:t>
            </w:r>
            <w:r>
              <w:t xml:space="preserve">spills; embarrassment (Kellner 2017); imported active spoons cost ₹35,980–₹58,480; weighted spoons tire the hand</w:t>
            </w:r>
          </w:p>
        </w:tc>
        <w:tc>
          <w:tcPr/>
          <w:p>
            <w:pPr>
              <w:pStyle w:val="Compact"/>
              <w:jc w:val="left"/>
            </w:pPr>
            <w:r>
              <w:rPr>
                <w:bCs/>
                <w:b/>
              </w:rPr>
              <w:t xml:space="preserve">Pain relievers:</w:t>
            </w:r>
            <w:r>
              <w:t xml:space="preserve"> </w:t>
            </w:r>
            <w:r>
              <w:t xml:space="preserve">≈90% tremor rejection on the bench (founder-reported); planned price ₹9,999; built and serviced in India</w:t>
            </w:r>
          </w:p>
        </w:tc>
      </w:tr>
      <w:tr>
        <w:tc>
          <w:tcPr/>
          <w:p>
            <w:pPr>
              <w:pStyle w:val="Compact"/>
              <w:jc w:val="left"/>
            </w:pPr>
            <w:r>
              <w:rPr>
                <w:bCs/>
                <w:b/>
              </w:rPr>
              <w:t xml:space="preserve">Gains:</w:t>
            </w:r>
            <w:r>
              <w:t xml:space="preserve"> </w:t>
            </w:r>
            <w:r>
              <w:t xml:space="preserve">dignity; fewer meals needing help; caregiver time back</w:t>
            </w:r>
          </w:p>
        </w:tc>
        <w:tc>
          <w:tcPr/>
          <w:p>
            <w:pPr>
              <w:pStyle w:val="Compact"/>
              <w:jc w:val="left"/>
            </w:pPr>
            <w:r>
              <w:rPr>
                <w:bCs/>
                <w:b/>
              </w:rPr>
              <w:t xml:space="preserve">Gain creators:</w:t>
            </w:r>
            <w:r>
              <w:t xml:space="preserve"> </w:t>
            </w:r>
            <w:r>
              <w:t xml:space="preserve">rental option ₹799/month; clinic-assisted trial before buying</w:t>
            </w:r>
          </w:p>
        </w:tc>
      </w:tr>
    </w:tbl>
    <w:bookmarkEnd w:id="46"/>
    <w:bookmarkStart w:id="47" w:name="X4b5164df4b7bd48f9d84ba255168b9df849766c"/>
    <w:p>
      <w:pPr>
        <w:pStyle w:val="Heading3"/>
      </w:pPr>
      <w:r>
        <w:t xml:space="preserve">ParkinSense — wearable user (including people living with tremor)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Customer profile</w:t>
            </w:r>
          </w:p>
        </w:tc>
        <w:tc>
          <w:tcPr/>
          <w:p>
            <w:pPr>
              <w:pStyle w:val="Compact"/>
              <w:jc w:val="left"/>
            </w:pPr>
            <w:r>
              <w:t xml:space="preserve">Value map</w:t>
            </w:r>
          </w:p>
        </w:tc>
      </w:tr>
      <w:tr>
        <w:tc>
          <w:tcPr/>
          <w:p>
            <w:pPr>
              <w:pStyle w:val="Compact"/>
              <w:jc w:val="left"/>
            </w:pPr>
            <w:r>
              <w:rPr>
                <w:bCs/>
                <w:b/>
              </w:rPr>
              <w:t xml:space="preserve">Jobs:</w:t>
            </w:r>
            <w:r>
              <w:t xml:space="preserve"> </w:t>
            </w:r>
            <w:r>
              <w:t xml:space="preserve">understand activity, vitals and movement every day; share a record with a clinician</w:t>
            </w:r>
          </w:p>
        </w:tc>
        <w:tc>
          <w:tcPr/>
          <w:p>
            <w:pPr>
              <w:pStyle w:val="Compact"/>
              <w:jc w:val="left"/>
            </w:pPr>
            <w:r>
              <w:rPr>
                <w:bCs/>
                <w:b/>
              </w:rPr>
              <w:t xml:space="preserve">Product:</w:t>
            </w:r>
            <w:r>
              <w:t xml:space="preserve"> </w:t>
            </w:r>
            <w:r>
              <w:t xml:space="preserve">screenless wrist band streaming IMU + PPG over BLE to a dashboard</w:t>
            </w:r>
          </w:p>
        </w:tc>
      </w:tr>
      <w:tr>
        <w:tc>
          <w:tcPr/>
          <w:p>
            <w:pPr>
              <w:pStyle w:val="Compact"/>
              <w:jc w:val="left"/>
            </w:pPr>
            <w:r>
              <w:rPr>
                <w:bCs/>
                <w:b/>
              </w:rPr>
              <w:t xml:space="preserve">Pains:</w:t>
            </w:r>
            <w:r>
              <w:t xml:space="preserve"> </w:t>
            </w:r>
            <w:r>
              <w:t xml:space="preserve">clinic sees only a snapshot (Hadley 2021); screenless bands cost ₹12,000–₹25,990 and none lists tremor detection</w:t>
            </w:r>
          </w:p>
        </w:tc>
        <w:tc>
          <w:tcPr/>
          <w:p>
            <w:pPr>
              <w:pStyle w:val="Compact"/>
              <w:jc w:val="left"/>
            </w:pPr>
            <w:r>
              <w:rPr>
                <w:bCs/>
                <w:b/>
              </w:rPr>
              <w:t xml:space="preserve">Pain relievers:</w:t>
            </w:r>
            <w:r>
              <w:t xml:space="preserve"> </w:t>
            </w:r>
            <w:r>
              <w:t xml:space="preserve">tremor score, frequency and burden; tremor never counted as steps; ₹7,999 with no mandatory subscription</w:t>
            </w:r>
          </w:p>
        </w:tc>
      </w:tr>
      <w:tr>
        <w:tc>
          <w:tcPr/>
          <w:p>
            <w:pPr>
              <w:pStyle w:val="Compact"/>
              <w:jc w:val="left"/>
            </w:pPr>
            <w:r>
              <w:rPr>
                <w:bCs/>
                <w:b/>
              </w:rPr>
              <w:t xml:space="preserve">Gains:</w:t>
            </w:r>
            <w:r>
              <w:t xml:space="preserve"> </w:t>
            </w:r>
            <w:r>
              <w:t xml:space="preserve">long battery; a clear history to discuss with a doctor</w:t>
            </w:r>
          </w:p>
        </w:tc>
        <w:tc>
          <w:tcPr/>
          <w:p>
            <w:pPr>
              <w:pStyle w:val="Compact"/>
              <w:jc w:val="left"/>
            </w:pPr>
            <w:r>
              <w:rPr>
                <w:bCs/>
                <w:b/>
              </w:rPr>
              <w:t xml:space="preserve">Gain creators:</w:t>
            </w:r>
            <w:r>
              <w:t xml:space="preserve"> </w:t>
            </w:r>
            <w:r>
              <w:t xml:space="preserve">live dashboard; optional ₹199/month insights plan</w:t>
            </w:r>
          </w:p>
        </w:tc>
      </w:tr>
    </w:tbl>
    <w:bookmarkEnd w:id="47"/>
    <w:bookmarkEnd w:id="48"/>
    <w:bookmarkStart w:id="49" w:name="X66019e94a05c3c5fe99b7f9b25d059bfbe62078"/>
    <w:p>
      <w:pPr>
        <w:pStyle w:val="Heading2"/>
      </w:pPr>
      <w:r>
        <w:t xml:space="preserve">3. The three riskiest assumptions and how we test each</w:t>
      </w:r>
    </w:p>
    <w:tbl>
      <w:tblPr>
        <w:tblStyle w:val="Table"/>
        <w:tblW w:type="pct" w:w="5000"/>
        <w:tblLook w:firstRow="1" w:lastRow="0" w:firstColumn="0" w:lastColumn="0" w:noHBand="0" w:noVBand="0" w:val="0020"/>
        <w:jc w:val="start"/>
      </w:tblPr>
      <w:tblGrid>
        <w:gridCol w:w="316"/>
        <w:gridCol w:w="2376"/>
        <w:gridCol w:w="1584"/>
        <w:gridCol w:w="3643"/>
      </w:tblGrid>
      <w:tr>
        <w:trPr>
          <w:tblHeader w:val="true"/>
        </w:trPr>
        <w:tc>
          <w:tcPr/>
          <w:p>
            <w:pPr>
              <w:pStyle w:val="Compact"/>
              <w:jc w:val="left"/>
            </w:pPr>
            <w:r>
              <w:t xml:space="preserve">#</w:t>
            </w:r>
          </w:p>
        </w:tc>
        <w:tc>
          <w:tcPr/>
          <w:p>
            <w:pPr>
              <w:pStyle w:val="Compact"/>
              <w:jc w:val="left"/>
            </w:pPr>
            <w:r>
              <w:t xml:space="preserve">Riskiest assumption</w:t>
            </w:r>
          </w:p>
        </w:tc>
        <w:tc>
          <w:tcPr/>
          <w:p>
            <w:pPr>
              <w:pStyle w:val="Compact"/>
              <w:jc w:val="left"/>
            </w:pPr>
            <w:r>
              <w:t xml:space="preserve">Why it would sink us</w:t>
            </w:r>
          </w:p>
        </w:tc>
        <w:tc>
          <w:tcPr/>
          <w:p>
            <w:pPr>
              <w:pStyle w:val="Compact"/>
              <w:jc w:val="left"/>
            </w:pPr>
            <w:r>
              <w:t xml:space="preserve">Test (one line)</w:t>
            </w:r>
          </w:p>
        </w:tc>
      </w:tr>
      <w:tr>
        <w:tc>
          <w:tcPr/>
          <w:p>
            <w:pPr>
              <w:pStyle w:val="Compact"/>
              <w:jc w:val="left"/>
            </w:pPr>
            <w:r>
              <w:t xml:space="preserve">1</w:t>
            </w:r>
          </w:p>
        </w:tc>
        <w:tc>
          <w:tcPr/>
          <w:p>
            <w:pPr>
              <w:pStyle w:val="Compact"/>
              <w:jc w:val="left"/>
            </w:pPr>
            <w:r>
              <w:t xml:space="preserve">Bench tremor rejection turns into easier eating with real food and real hands</w:t>
            </w:r>
          </w:p>
        </w:tc>
        <w:tc>
          <w:tcPr/>
          <w:p>
            <w:pPr>
              <w:pStyle w:val="Compact"/>
              <w:jc w:val="left"/>
            </w:pPr>
            <w:r>
              <w:t xml:space="preserve">No product without it</w:t>
            </w:r>
          </w:p>
        </w:tc>
        <w:tc>
          <w:tcPr/>
          <w:p>
            <w:pPr>
              <w:pStyle w:val="Compact"/>
              <w:jc w:val="left"/>
            </w:pPr>
            <w:r>
              <w:t xml:space="preserve">Preregistered self-feeding study, n ≥ 10, M6: continue only if median reduction ≥50%</w:t>
            </w:r>
          </w:p>
        </w:tc>
      </w:tr>
      <w:tr>
        <w:tc>
          <w:tcPr/>
          <w:p>
            <w:pPr>
              <w:pStyle w:val="Compact"/>
              <w:jc w:val="left"/>
            </w:pPr>
            <w:r>
              <w:t xml:space="preserve">2</w:t>
            </w:r>
          </w:p>
        </w:tc>
        <w:tc>
          <w:tcPr/>
          <w:p>
            <w:pPr>
              <w:pStyle w:val="Compact"/>
              <w:jc w:val="left"/>
            </w:pPr>
            <w:r>
              <w:t xml:space="preserve">Families will pay ₹9,999 (or rent at ₹799/month)</w:t>
            </w:r>
          </w:p>
        </w:tc>
        <w:tc>
          <w:tcPr/>
          <w:p>
            <w:pPr>
              <w:pStyle w:val="Compact"/>
              <w:jc w:val="left"/>
            </w:pPr>
            <w:r>
              <w:t xml:space="preserve">Unit economics fail</w:t>
            </w:r>
          </w:p>
        </w:tc>
        <w:tc>
          <w:tcPr/>
          <w:p>
            <w:pPr>
              <w:pStyle w:val="Compact"/>
              <w:jc w:val="left"/>
            </w:pPr>
            <w:r>
              <w:t xml:space="preserve">In-clinic trial-to-purchase test, 10 clinics, 8 weeks: ≥30% buy at ₹9,999</w:t>
            </w:r>
          </w:p>
        </w:tc>
      </w:tr>
      <w:tr>
        <w:tc>
          <w:tcPr/>
          <w:p>
            <w:pPr>
              <w:pStyle w:val="Compact"/>
              <w:jc w:val="left"/>
            </w:pPr>
            <w:r>
              <w:t xml:space="preserve">3</w:t>
            </w:r>
          </w:p>
        </w:tc>
        <w:tc>
          <w:tcPr/>
          <w:p>
            <w:pPr>
              <w:pStyle w:val="Compact"/>
              <w:jc w:val="left"/>
            </w:pPr>
            <w:r>
              <w:t xml:space="preserve">Clinicians will refer patients</w:t>
            </w:r>
          </w:p>
        </w:tc>
        <w:tc>
          <w:tcPr/>
          <w:p>
            <w:pPr>
              <w:pStyle w:val="Compact"/>
              <w:jc w:val="left"/>
            </w:pPr>
            <w:r>
              <w:t xml:space="preserve">Channel and CAC fail</w:t>
            </w:r>
          </w:p>
        </w:tc>
        <w:tc>
          <w:tcPr/>
          <w:p>
            <w:pPr>
              <w:pStyle w:val="Compact"/>
              <w:jc w:val="left"/>
            </w:pPr>
            <w:r>
              <w:t xml:space="preserve">Outreach to 10 neurologists/OT centres: ≥5 agree to host a trial; track referrals per clinic per month</w:t>
            </w:r>
          </w:p>
        </w:tc>
      </w:tr>
    </w:tbl>
    <w:bookmarkEnd w:id="49"/>
    <w:bookmarkEnd w:id="50"/>
    <w:bookmarkStart w:id="55" w:name="M2.2"/>
    <w:p>
      <w:pPr>
        <w:pStyle w:val="BodyText"/>
      </w:pPr>
      <w:r>
        <w:t xml:space="preserve">M2 · Activity 2 · Mandatory Model M2.2</w:t>
      </w:r>
    </w:p>
    <w:bookmarkStart w:id="51" w:name="mvp-validation-experiment-decision"/>
    <w:p>
      <w:pPr>
        <w:pStyle w:val="Heading1"/>
      </w:pPr>
      <w:r>
        <w:t xml:space="preserve">MVP Validation Experiment &amp; Decision</w:t>
      </w:r>
    </w:p>
    <w:tbl>
      <w:tblPr>
        <w:tblStyle w:val="Table"/>
        <w:tblW w:type="auto" w:w="0"/>
        <w:tblLook w:firstRow="0" w:lastRow="0" w:firstColumn="0" w:lastColumn="0" w:noHBand="0" w:noVBand="0" w:val="0000"/>
        <w:jc w:val="start"/>
      </w:tblPr>
      <w:tblGrid>
        <w:gridCol w:w="1980"/>
        <w:gridCol w:w="1980"/>
        <w:gridCol w:w="1980"/>
        <w:gridCol w:w="1980"/>
      </w:tblGrid>
      <w:tr>
        <w:tc>
          <w:tcPr/>
          <w:p>
            <w:pPr>
              <w:pStyle w:val="Compact"/>
              <w:jc w:val="left"/>
            </w:pPr>
            <w:r>
              <w:rPr>
                <w:bCs/>
                <w:b/>
              </w:rPr>
              <w:t xml:space="preserve">Module</w:t>
            </w:r>
            <w:r>
              <w:t xml:space="preserve"> </w:t>
            </w:r>
            <w:r>
              <w:t xml:space="preserve">2</w:t>
            </w:r>
          </w:p>
        </w:tc>
        <w:tc>
          <w:tcPr/>
          <w:p>
            <w:pPr>
              <w:pStyle w:val="Compact"/>
              <w:jc w:val="left"/>
            </w:pPr>
            <w:r>
              <w:rPr>
                <w:bCs/>
                <w:b/>
              </w:rPr>
              <w:t xml:space="preserve">Activity</w:t>
            </w:r>
            <w:r>
              <w:t xml:space="preserve"> </w:t>
            </w:r>
            <w:r>
              <w:t xml:space="preserve">2</w:t>
            </w:r>
          </w:p>
        </w:tc>
        <w:tc>
          <w:tcPr/>
          <w:p>
            <w:pPr>
              <w:pStyle w:val="Compact"/>
              <w:jc w:val="left"/>
            </w:pPr>
            <w:r>
              <w:rPr>
                <w:bCs/>
                <w:b/>
              </w:rPr>
              <w:t xml:space="preserve">Date completed</w:t>
            </w:r>
            <w:r>
              <w:t xml:space="preserve"> </w:t>
            </w:r>
            <w:r>
              <w:t xml:space="preserve">9 Sep 2026</w:t>
            </w:r>
          </w:p>
        </w:tc>
        <w:tc>
          <w:tcPr/>
          <w:p>
            <w:pPr>
              <w:pStyle w:val="Compact"/>
              <w:jc w:val="left"/>
            </w:pPr>
            <w:r>
              <w:rPr>
                <w:bCs/>
                <w:b/>
              </w:rPr>
              <w:t xml:space="preserve">Venture</w:t>
            </w:r>
            <w:r>
              <w:t xml:space="preserve"> </w:t>
            </w:r>
            <w:r>
              <w:t xml:space="preserve">AVERRA</w:t>
            </w:r>
          </w:p>
        </w:tc>
      </w:tr>
      <w:tr>
        <w:tc>
          <w:tcPr>
            <w:gridSpan w:val="4"/>
          </w:tcPr>
          <w:p>
            <w:pPr>
              <w:pStyle w:val="Compact"/>
              <w:jc w:val="left"/>
            </w:pPr>
            <w:r>
              <w:rPr>
                <w:bCs/>
                <w:b/>
              </w:rPr>
              <w:t xml:space="preserve">Evidence status:</w:t>
            </w:r>
            <w:r>
              <w:t xml:space="preserve"> </w:t>
            </w:r>
            <w:r>
              <w:t xml:space="preserve">Completed · simulated semester pilot; funded study planned</w:t>
            </w:r>
          </w:p>
        </w:tc>
      </w:tr>
      <w:tr>
        <w:tc>
          <w:tcPr>
            <w:gridSpan w:val="4"/>
          </w:tcPr>
          <w:p>
            <w:pPr>
              <w:pStyle w:val="Compact"/>
              <w:jc w:val="left"/>
            </w:pPr>
            <w:r>
              <w:t xml:space="preserve">Data note: Pilot results are simulated (n = 5); the preregistered n ≥ 10 study is planned for M6 of the funded plan.</w:t>
            </w:r>
          </w:p>
        </w:tc>
      </w:tr>
    </w:tbl>
    <w:bookmarkEnd w:id="51"/>
    <w:bookmarkStart w:id="52" w:name="what-exists-today-evidence"/>
    <w:p>
      <w:pPr>
        <w:pStyle w:val="Heading2"/>
      </w:pPr>
      <w:r>
        <w:t xml:space="preserve">1. What exists today (evidence)</w:t>
      </w:r>
    </w:p>
    <w:tbl>
      <w:tblPr>
        <w:tblStyle w:val="Table"/>
        <w:tblW w:type="pct" w:w="5000"/>
        <w:tblLook w:firstRow="1" w:lastRow="0" w:firstColumn="0" w:lastColumn="0" w:noHBand="0" w:noVBand="0" w:val="0020"/>
        <w:jc w:val="start"/>
      </w:tblPr>
      <w:tblGrid>
        <w:gridCol w:w="1900"/>
        <w:gridCol w:w="2217"/>
        <w:gridCol w:w="2534"/>
        <w:gridCol w:w="1267"/>
      </w:tblGrid>
      <w:tr>
        <w:trPr>
          <w:tblHeader w:val="true"/>
        </w:trPr>
        <w:tc>
          <w:tcPr/>
          <w:p>
            <w:pPr>
              <w:pStyle w:val="Compact"/>
              <w:jc w:val="left"/>
            </w:pPr>
            <w:r>
              <w:t xml:space="preserve">MVP</w:t>
            </w:r>
          </w:p>
        </w:tc>
        <w:tc>
          <w:tcPr/>
          <w:p>
            <w:pPr>
              <w:pStyle w:val="Compact"/>
              <w:jc w:val="left"/>
            </w:pPr>
            <w:r>
              <w:t xml:space="preserve">What was run</w:t>
            </w:r>
          </w:p>
        </w:tc>
        <w:tc>
          <w:tcPr/>
          <w:p>
            <w:pPr>
              <w:pStyle w:val="Compact"/>
              <w:jc w:val="left"/>
            </w:pPr>
            <w:r>
              <w:t xml:space="preserve">Result so far</w:t>
            </w:r>
          </w:p>
        </w:tc>
        <w:tc>
          <w:tcPr/>
          <w:p>
            <w:pPr>
              <w:pStyle w:val="Compact"/>
              <w:jc w:val="left"/>
            </w:pPr>
            <w:r>
              <w:t xml:space="preserve">Status</w:t>
            </w:r>
          </w:p>
        </w:tc>
      </w:tr>
      <w:tr>
        <w:tc>
          <w:tcPr/>
          <w:p>
            <w:pPr>
              <w:pStyle w:val="Compact"/>
              <w:jc w:val="left"/>
            </w:pPr>
            <w:r>
              <w:t xml:space="preserve">TremoSense current build (Zephyr, 208 Hz, higher-torque servos)</w:t>
            </w:r>
          </w:p>
        </w:tc>
        <w:tc>
          <w:tcPr/>
          <w:p>
            <w:pPr>
              <w:pStyle w:val="Compact"/>
              <w:jc w:val="left"/>
            </w:pPr>
            <w:r>
              <w:t xml:space="preserve">Motorised tremor simulator at 4, 6, 8 Hz, ±5°; 2 people with tremor tried it informally</w:t>
            </w:r>
          </w:p>
        </w:tc>
        <w:tc>
          <w:tcPr/>
          <w:p>
            <w:pPr>
              <w:pStyle w:val="Compact"/>
              <w:jc w:val="left"/>
            </w:pPr>
            <w:r>
              <w:t xml:space="preserve">≈90% tremor rejection on the bench (founder-reported; logs to be published); positive informal feedback, no metric</w:t>
            </w:r>
          </w:p>
        </w:tc>
        <w:tc>
          <w:tcPr/>
          <w:p>
            <w:pPr>
              <w:pStyle w:val="Compact"/>
              <w:jc w:val="left"/>
            </w:pPr>
            <w:r>
              <w:t xml:space="preserve">Bench evidence only</w:t>
            </w:r>
          </w:p>
        </w:tc>
      </w:tr>
      <w:tr>
        <w:tc>
          <w:tcPr/>
          <w:p>
            <w:pPr>
              <w:pStyle w:val="Compact"/>
              <w:jc w:val="left"/>
            </w:pPr>
            <w:r>
              <w:t xml:space="preserve">ParkinSense prototype + dashboard</w:t>
            </w:r>
          </w:p>
        </w:tc>
        <w:tc>
          <w:tcPr/>
          <w:p>
            <w:pPr>
              <w:pStyle w:val="Compact"/>
              <w:jc w:val="left"/>
            </w:pPr>
            <w:r>
              <w:t xml:space="preserve">Bench conditions (rest, 5 Hz fixture, walking, arm motion); BLE soak; power profiling</w:t>
            </w:r>
          </w:p>
        </w:tc>
        <w:tc>
          <w:tcPr/>
          <w:p>
            <w:pPr>
              <w:pStyle w:val="Compact"/>
              <w:jc w:val="left"/>
            </w:pPr>
            <w:r>
              <w:t xml:space="preserve">8/8 bench conditions correct; ≈7 mA. Clinical evaluation with ICMR in progress, results pending (founder-reported)</w:t>
            </w:r>
          </w:p>
        </w:tc>
        <w:tc>
          <w:tcPr/>
          <w:p>
            <w:pPr>
              <w:pStyle w:val="Compact"/>
              <w:jc w:val="left"/>
            </w:pPr>
            <w:r>
              <w:t xml:space="preserve">Bench evidence; clinical results pending</w:t>
            </w:r>
          </w:p>
        </w:tc>
      </w:tr>
    </w:tbl>
    <w:p>
      <w:pPr>
        <w:pStyle w:val="BodyText"/>
      </w:pPr>
      <w:r>
        <w:t xml:space="preserve">No success metric was preregistered before the bench tests above, so they are reported as bench evidence, not as a validated MVP. The protocol below is preregistered for the funded M6 study. A small semester pilot (n = 5, simulated case study) was run on the same protocol to check feasibility.</w:t>
      </w:r>
    </w:p>
    <w:bookmarkEnd w:id="52"/>
    <w:bookmarkStart w:id="53" w:name="preregistered-experiment-planned-for-m6"/>
    <w:p>
      <w:pPr>
        <w:pStyle w:val="Heading2"/>
      </w:pPr>
      <w:r>
        <w:t xml:space="preserve">2. Preregistered experiment (planned for M6)</w:t>
      </w:r>
    </w:p>
    <w:tbl>
      <w:tblPr>
        <w:tblStyle w:val="Table"/>
        <w:tblW w:type="pct" w:w="5000"/>
        <w:tblLook w:firstRow="1" w:lastRow="0" w:firstColumn="0" w:lastColumn="0" w:noHBand="0" w:noVBand="0" w:val="0020"/>
        <w:jc w:val="start"/>
      </w:tblPr>
      <w:tblGrid>
        <w:gridCol w:w="1900"/>
        <w:gridCol w:w="6019"/>
      </w:tblGrid>
      <w:tr>
        <w:trPr>
          <w:tblHeader w:val="true"/>
        </w:trPr>
        <w:tc>
          <w:tcPr/>
          <w:p>
            <w:pPr>
              <w:pStyle w:val="Compact"/>
              <w:jc w:val="left"/>
            </w:pPr>
            <w:r>
              <w:t xml:space="preserve">Item</w:t>
            </w:r>
          </w:p>
        </w:tc>
        <w:tc>
          <w:tcPr/>
          <w:p>
            <w:pPr>
              <w:pStyle w:val="Compact"/>
              <w:jc w:val="left"/>
            </w:pPr>
            <w:r>
              <w:t xml:space="preserve">Protocol</w:t>
            </w:r>
          </w:p>
        </w:tc>
      </w:tr>
      <w:tr>
        <w:tc>
          <w:tcPr/>
          <w:p>
            <w:pPr>
              <w:pStyle w:val="Compact"/>
              <w:jc w:val="left"/>
            </w:pPr>
            <w:r>
              <w:t xml:space="preserve">MVP being tested</w:t>
            </w:r>
          </w:p>
        </w:tc>
        <w:tc>
          <w:tcPr/>
          <w:p>
            <w:pPr>
              <w:pStyle w:val="Compact"/>
              <w:jc w:val="left"/>
            </w:pPr>
            <w:r>
              <w:t xml:space="preserve">12 TremoSense study units (Scenario A build)</w:t>
            </w:r>
          </w:p>
        </w:tc>
      </w:tr>
      <w:tr>
        <w:tc>
          <w:tcPr/>
          <w:p>
            <w:pPr>
              <w:pStyle w:val="Compact"/>
              <w:jc w:val="left"/>
            </w:pPr>
            <w:r>
              <w:t xml:space="preserve">Target user</w:t>
            </w:r>
          </w:p>
        </w:tc>
        <w:tc>
          <w:tcPr/>
          <w:p>
            <w:pPr>
              <w:pStyle w:val="Compact"/>
              <w:jc w:val="left"/>
            </w:pPr>
            <w:r>
              <w:t xml:space="preserve">Adults with Parkinson's or essential tremor whose tremor disrupts eating; recruited via neurologists/OT centres; ethics approval first</w:t>
            </w:r>
          </w:p>
        </w:tc>
      </w:tr>
      <w:tr>
        <w:tc>
          <w:tcPr/>
          <w:p>
            <w:pPr>
              <w:pStyle w:val="Compact"/>
              <w:jc w:val="left"/>
            </w:pPr>
            <w:r>
              <w:t xml:space="preserve">Hypothesis</w:t>
            </w:r>
          </w:p>
        </w:tc>
        <w:tc>
          <w:tcPr/>
          <w:p>
            <w:pPr>
              <w:pStyle w:val="Compact"/>
              <w:jc w:val="left"/>
            </w:pPr>
            <w:r>
              <w:t xml:space="preserve">Using TremoSense reduces tremor amplitude at the spoon head during a standard self-feeding task, and users value it enough to pay ₹9,999</w:t>
            </w:r>
          </w:p>
        </w:tc>
      </w:tr>
      <w:tr>
        <w:tc>
          <w:tcPr/>
          <w:p>
            <w:pPr>
              <w:pStyle w:val="Compact"/>
              <w:jc w:val="left"/>
            </w:pPr>
            <w:r>
              <w:t xml:space="preserve">Success metric 1</w:t>
            </w:r>
          </w:p>
        </w:tc>
        <w:tc>
          <w:tcPr/>
          <w:p>
            <w:pPr>
              <w:pStyle w:val="Compact"/>
              <w:jc w:val="left"/>
            </w:pPr>
            <w:r>
              <w:t xml:space="preserve">Median reduction in spoon-head tremor amplitude (IMU) vs a normal spoon, same participant, same task</w:t>
            </w:r>
          </w:p>
        </w:tc>
      </w:tr>
      <w:tr>
        <w:tc>
          <w:tcPr/>
          <w:p>
            <w:pPr>
              <w:pStyle w:val="Compact"/>
              <w:jc w:val="left"/>
            </w:pPr>
            <w:r>
              <w:t xml:space="preserve">Success metric 2</w:t>
            </w:r>
          </w:p>
        </w:tc>
        <w:tc>
          <w:tcPr/>
          <w:p>
            <w:pPr>
              <w:pStyle w:val="Compact"/>
              <w:jc w:val="left"/>
            </w:pPr>
            <w:r>
              <w:t xml:space="preserve">Share of participants who say they would pay ₹9,999 (or rent at ₹799/month) after the session</w:t>
            </w:r>
          </w:p>
        </w:tc>
      </w:tr>
      <w:tr>
        <w:tc>
          <w:tcPr/>
          <w:p>
            <w:pPr>
              <w:pStyle w:val="Compact"/>
              <w:jc w:val="left"/>
            </w:pPr>
            <w:r>
              <w:t xml:space="preserve">Preregistered thresholds</w:t>
            </w:r>
          </w:p>
        </w:tc>
        <w:tc>
          <w:tcPr/>
          <w:p>
            <w:pPr>
              <w:pStyle w:val="Compact"/>
              <w:jc w:val="left"/>
            </w:pPr>
            <w:r>
              <w:t xml:space="preserve">Persevere: median reduction ≥50% AND ≥60% would pay · Redesign and re-test once: 30–50% · Kill TremoSense: &lt;30% · Pivot to clinic rental: works but &lt;60% would pay</w:t>
            </w:r>
          </w:p>
        </w:tc>
      </w:tr>
      <w:tr>
        <w:tc>
          <w:tcPr/>
          <w:p>
            <w:pPr>
              <w:pStyle w:val="Compact"/>
              <w:jc w:val="left"/>
            </w:pPr>
            <w:r>
              <w:t xml:space="preserve">Procedure</w:t>
            </w:r>
          </w:p>
        </w:tc>
        <w:tc>
          <w:tcPr/>
          <w:p>
            <w:pPr>
              <w:pStyle w:val="Compact"/>
              <w:jc w:val="left"/>
            </w:pPr>
            <w:r>
              <w:t xml:space="preserve">Each participant: 10 spoonfuls of a standard food with a normal spoon, then 10 with TremoSense (order randomised); log IMU on handle and head; short interview</w:t>
            </w:r>
          </w:p>
        </w:tc>
      </w:tr>
      <w:tr>
        <w:tc>
          <w:tcPr/>
          <w:p>
            <w:pPr>
              <w:pStyle w:val="Compact"/>
              <w:jc w:val="left"/>
            </w:pPr>
            <w:r>
              <w:t xml:space="preserve">Duration and sample</w:t>
            </w:r>
          </w:p>
        </w:tc>
        <w:tc>
          <w:tcPr/>
          <w:p>
            <w:pPr>
              <w:pStyle w:val="Compact"/>
              <w:jc w:val="left"/>
            </w:pPr>
            <w:r>
              <w:t xml:space="preserve">4 weeks in M5–M6; n ≥ 10</w:t>
            </w:r>
          </w:p>
        </w:tc>
      </w:tr>
      <w:tr>
        <w:tc>
          <w:tcPr/>
          <w:p>
            <w:pPr>
              <w:pStyle w:val="Compact"/>
              <w:jc w:val="left"/>
            </w:pPr>
            <w:r>
              <w:t xml:space="preserve">ParkinSense pass mark (M10)</w:t>
            </w:r>
          </w:p>
        </w:tc>
        <w:tc>
          <w:tcPr/>
          <w:p>
            <w:pPr>
              <w:pStyle w:val="Compact"/>
              <w:jc w:val="left"/>
            </w:pPr>
            <w:r>
              <w:t xml:space="preserve">Dominant-frequency error ≤5% vs a reference device; zero false steps during tremor</w:t>
            </w:r>
          </w:p>
        </w:tc>
      </w:tr>
    </w:tbl>
    <w:bookmarkEnd w:id="53"/>
    <w:bookmarkStart w:id="54" w:name="Xff62081ac82b3f01de00ab69e7647b8b8d4ca54"/>
    <w:p>
      <w:pPr>
        <w:pStyle w:val="Heading2"/>
      </w:pPr>
      <w:r>
        <w:t xml:space="preserve">3. Semester pilot result against the thresholds (simulated, n = 5)</w:t>
      </w:r>
    </w:p>
    <w:tbl>
      <w:tblPr>
        <w:tblStyle w:val="Table"/>
        <w:tblW w:type="pct" w:w="5000"/>
        <w:tblLook w:firstRow="1" w:lastRow="0" w:firstColumn="0" w:lastColumn="0" w:noHBand="0" w:noVBand="0" w:val="0020"/>
        <w:jc w:val="start"/>
      </w:tblPr>
      <w:tblGrid>
        <w:gridCol w:w="2376"/>
        <w:gridCol w:w="1742"/>
        <w:gridCol w:w="2376"/>
        <w:gridCol w:w="1425"/>
      </w:tblGrid>
      <w:tr>
        <w:trPr>
          <w:tblHeader w:val="true"/>
        </w:trPr>
        <w:tc>
          <w:tcPr/>
          <w:p>
            <w:pPr>
              <w:pStyle w:val="Compact"/>
              <w:jc w:val="left"/>
            </w:pPr>
            <w:r>
              <w:t xml:space="preserve">Metric</w:t>
            </w:r>
          </w:p>
        </w:tc>
        <w:tc>
          <w:tcPr/>
          <w:p>
            <w:pPr>
              <w:pStyle w:val="Compact"/>
              <w:jc w:val="left"/>
            </w:pPr>
            <w:r>
              <w:t xml:space="preserve">Preregistered threshold</w:t>
            </w:r>
          </w:p>
        </w:tc>
        <w:tc>
          <w:tcPr/>
          <w:p>
            <w:pPr>
              <w:pStyle w:val="Compact"/>
              <w:jc w:val="left"/>
            </w:pPr>
            <w:r>
              <w:t xml:space="preserve">Pilot result (simulated)</w:t>
            </w:r>
          </w:p>
        </w:tc>
        <w:tc>
          <w:tcPr/>
          <w:p>
            <w:pPr>
              <w:pStyle w:val="Compact"/>
              <w:jc w:val="left"/>
            </w:pPr>
            <w:r>
              <w:t xml:space="preserve">Met?</w:t>
            </w:r>
          </w:p>
        </w:tc>
      </w:tr>
      <w:tr>
        <w:tc>
          <w:tcPr/>
          <w:p>
            <w:pPr>
              <w:pStyle w:val="Compact"/>
              <w:jc w:val="left"/>
            </w:pPr>
            <w:r>
              <w:t xml:space="preserve">Median tremor reduction</w:t>
            </w:r>
          </w:p>
        </w:tc>
        <w:tc>
          <w:tcPr/>
          <w:p>
            <w:pPr>
              <w:pStyle w:val="Compact"/>
              <w:jc w:val="left"/>
            </w:pPr>
            <w:r>
              <w:t xml:space="preserve">≥50%</w:t>
            </w:r>
          </w:p>
        </w:tc>
        <w:tc>
          <w:tcPr/>
          <w:p>
            <w:pPr>
              <w:pStyle w:val="Compact"/>
              <w:jc w:val="left"/>
            </w:pPr>
            <w:r>
              <w:t xml:space="preserve">58% (range 41–67%)</w:t>
            </w:r>
          </w:p>
        </w:tc>
        <w:tc>
          <w:tcPr/>
          <w:p>
            <w:pPr>
              <w:pStyle w:val="Compact"/>
              <w:jc w:val="left"/>
            </w:pPr>
            <w:r>
              <w:t xml:space="preserve">Yes (indicative)</w:t>
            </w:r>
          </w:p>
        </w:tc>
      </w:tr>
      <w:tr>
        <w:tc>
          <w:tcPr/>
          <w:p>
            <w:pPr>
              <w:pStyle w:val="Compact"/>
              <w:jc w:val="left"/>
            </w:pPr>
            <w:r>
              <w:t xml:space="preserve">Would pay ₹9,999 or rent at ₹799/month</w:t>
            </w:r>
          </w:p>
        </w:tc>
        <w:tc>
          <w:tcPr/>
          <w:p>
            <w:pPr>
              <w:pStyle w:val="Compact"/>
              <w:jc w:val="left"/>
            </w:pPr>
            <w:r>
              <w:t xml:space="preserve">≥60%</w:t>
            </w:r>
          </w:p>
        </w:tc>
        <w:tc>
          <w:tcPr/>
          <w:p>
            <w:pPr>
              <w:pStyle w:val="Compact"/>
              <w:jc w:val="left"/>
            </w:pPr>
            <w:r>
              <w:t xml:space="preserve">3 of 5 = 60% (2 buy, 1 rent)</w:t>
            </w:r>
          </w:p>
        </w:tc>
        <w:tc>
          <w:tcPr/>
          <w:p>
            <w:pPr>
              <w:pStyle w:val="Compact"/>
              <w:jc w:val="left"/>
            </w:pPr>
            <w:r>
              <w:t xml:space="preserve">Yes, at the threshold</w:t>
            </w:r>
          </w:p>
        </w:tc>
      </w:tr>
      <w:tr>
        <w:tc>
          <w:tcPr/>
          <w:p>
            <w:pPr>
              <w:pStyle w:val="Compact"/>
              <w:jc w:val="left"/>
            </w:pPr>
            <w:r>
              <w:t xml:space="preserve">Participants completed</w:t>
            </w:r>
          </w:p>
        </w:tc>
        <w:tc>
          <w:tcPr/>
          <w:p>
            <w:pPr>
              <w:pStyle w:val="Compact"/>
              <w:jc w:val="left"/>
            </w:pPr>
            <w:r>
              <w:t xml:space="preserve">≥10</w:t>
            </w:r>
          </w:p>
        </w:tc>
        <w:tc>
          <w:tcPr/>
          <w:p>
            <w:pPr>
              <w:pStyle w:val="Compact"/>
              <w:jc w:val="left"/>
            </w:pPr>
            <w:r>
              <w:t xml:space="preserve">5 of 5</w:t>
            </w:r>
          </w:p>
        </w:tc>
        <w:tc>
          <w:tcPr/>
          <w:p>
            <w:pPr>
              <w:pStyle w:val="Compact"/>
              <w:jc w:val="left"/>
            </w:pPr>
            <w:r>
              <w:t xml:space="preserve">No — pilot sample only</w:t>
            </w:r>
          </w:p>
        </w:tc>
      </w:tr>
    </w:tbl>
    <w:p>
      <w:pPr>
        <w:pStyle w:val="BodyText"/>
      </w:pPr>
      <w:r>
        <w:rPr>
          <w:bCs/>
          <w:b/>
        </w:rPr>
        <w:t xml:space="preserve">Decision:</w:t>
      </w:r>
      <w:r>
        <w:t xml:space="preserve"> </w:t>
      </w:r>
      <w:r>
        <w:rPr>
          <w:bCs/>
          <w:b/>
        </w:rPr>
        <w:t xml:space="preserve">PERSEVERE to the funded study.</w:t>
      </w:r>
      <w:r>
        <w:t xml:space="preserve"> </w:t>
      </w:r>
      <w:r>
        <w:t xml:space="preserve">Both thresholds were met in the pilot, but n = 5 is below the preregistered sample, so the result is indicative only; the kill / continue decision stays with the n ≥ 10 study at M6. Two of five found the handle heavy, which led to the change in M5.2.</w:t>
      </w:r>
    </w:p>
    <w:bookmarkEnd w:id="54"/>
    <w:bookmarkEnd w:id="55"/>
    <w:bookmarkStart w:id="61" w:name="M2.3"/>
    <w:p>
      <w:pPr>
        <w:pStyle w:val="BodyText"/>
      </w:pPr>
      <w:r>
        <w:t xml:space="preserve">M2 · Activity 3 · Mandatory Model M2.3</w:t>
      </w:r>
    </w:p>
    <w:bookmarkStart w:id="56" w:name="pricing-margin-funnel-performance-pack"/>
    <w:p>
      <w:pPr>
        <w:pStyle w:val="Heading1"/>
      </w:pPr>
      <w:r>
        <w:t xml:space="preserve">Pricing, Margin &amp; Funnel Performance Pack</w:t>
      </w:r>
    </w:p>
    <w:tbl>
      <w:tblPr>
        <w:tblStyle w:val="Table"/>
        <w:tblW w:type="auto" w:w="0"/>
        <w:tblLook w:firstRow="0" w:lastRow="0" w:firstColumn="0" w:lastColumn="0" w:noHBand="0" w:noVBand="0" w:val="0000"/>
        <w:jc w:val="start"/>
      </w:tblPr>
      <w:tblGrid>
        <w:gridCol w:w="1980"/>
        <w:gridCol w:w="1980"/>
        <w:gridCol w:w="1980"/>
        <w:gridCol w:w="1980"/>
      </w:tblGrid>
      <w:tr>
        <w:tc>
          <w:tcPr/>
          <w:p>
            <w:pPr>
              <w:pStyle w:val="Compact"/>
              <w:jc w:val="left"/>
            </w:pPr>
            <w:r>
              <w:rPr>
                <w:bCs/>
                <w:b/>
              </w:rPr>
              <w:t xml:space="preserve">Module</w:t>
            </w:r>
            <w:r>
              <w:t xml:space="preserve"> </w:t>
            </w:r>
            <w:r>
              <w:t xml:space="preserve">2</w:t>
            </w:r>
          </w:p>
        </w:tc>
        <w:tc>
          <w:tcPr/>
          <w:p>
            <w:pPr>
              <w:pStyle w:val="Compact"/>
              <w:jc w:val="left"/>
            </w:pPr>
            <w:r>
              <w:rPr>
                <w:bCs/>
                <w:b/>
              </w:rPr>
              <w:t xml:space="preserve">Activity</w:t>
            </w:r>
            <w:r>
              <w:t xml:space="preserve"> </w:t>
            </w:r>
            <w:r>
              <w:t xml:space="preserve">3</w:t>
            </w:r>
          </w:p>
        </w:tc>
        <w:tc>
          <w:tcPr/>
          <w:p>
            <w:pPr>
              <w:pStyle w:val="Compact"/>
              <w:jc w:val="left"/>
            </w:pPr>
            <w:r>
              <w:rPr>
                <w:bCs/>
                <w:b/>
              </w:rPr>
              <w:t xml:space="preserve">Date completed</w:t>
            </w:r>
            <w:r>
              <w:t xml:space="preserve"> </w:t>
            </w:r>
            <w:r>
              <w:t xml:space="preserve">16 Sep 2026</w:t>
            </w:r>
          </w:p>
        </w:tc>
        <w:tc>
          <w:tcPr/>
          <w:p>
            <w:pPr>
              <w:pStyle w:val="Compact"/>
              <w:jc w:val="left"/>
            </w:pPr>
            <w:r>
              <w:rPr>
                <w:bCs/>
                <w:b/>
              </w:rPr>
              <w:t xml:space="preserve">Venture</w:t>
            </w:r>
            <w:r>
              <w:t xml:space="preserve"> </w:t>
            </w:r>
            <w:r>
              <w:t xml:space="preserve">AVERRA</w:t>
            </w:r>
          </w:p>
        </w:tc>
      </w:tr>
      <w:tr>
        <w:tc>
          <w:tcPr>
            <w:gridSpan w:val="4"/>
          </w:tcPr>
          <w:p>
            <w:pPr>
              <w:pStyle w:val="Compact"/>
              <w:jc w:val="left"/>
            </w:pPr>
            <w:r>
              <w:rPr>
                <w:bCs/>
                <w:b/>
              </w:rPr>
              <w:t xml:space="preserve">Evidence status:</w:t>
            </w:r>
            <w:r>
              <w:t xml:space="preserve"> </w:t>
            </w:r>
            <w:r>
              <w:t xml:space="preserve">Completed · model pricing; simulated funnel</w:t>
            </w:r>
          </w:p>
        </w:tc>
      </w:tr>
      <w:tr>
        <w:tc>
          <w:tcPr>
            <w:gridSpan w:val="4"/>
          </w:tcPr>
          <w:p>
            <w:pPr>
              <w:pStyle w:val="Compact"/>
              <w:jc w:val="left"/>
            </w:pPr>
            <w:r>
              <w:t xml:space="preserve">Data note: Prices and margins are from the model; funnel counts and deposits are simulated semester data.</w:t>
            </w:r>
          </w:p>
        </w:tc>
      </w:tr>
    </w:tbl>
    <w:bookmarkEnd w:id="56"/>
    <w:bookmarkStart w:id="57" w:name="two-candidate-prices-for-tremosense"/>
    <w:p>
      <w:pPr>
        <w:pStyle w:val="Heading2"/>
      </w:pPr>
      <w:r>
        <w:t xml:space="preserve">1. Two candidate prices for TremoSense</w:t>
      </w:r>
    </w:p>
    <w:tbl>
      <w:tblPr>
        <w:tblStyle w:val="Table"/>
        <w:tblW w:type="pct" w:w="5000"/>
        <w:tblLook w:firstRow="1" w:lastRow="0" w:firstColumn="0" w:lastColumn="0" w:noHBand="0" w:noVBand="0" w:val="0020"/>
        <w:jc w:val="start"/>
      </w:tblPr>
      <w:tblGrid>
        <w:gridCol w:w="2376"/>
        <w:gridCol w:w="2772"/>
        <w:gridCol w:w="2772"/>
      </w:tblGrid>
      <w:tr>
        <w:trPr>
          <w:tblHeader w:val="true"/>
        </w:trPr>
        <w:tc>
          <w:tcPr/>
          <w:p>
            <w:pPr>
              <w:pStyle w:val="Compact"/>
            </w:pPr>
          </w:p>
        </w:tc>
        <w:tc>
          <w:tcPr/>
          <w:p>
            <w:pPr>
              <w:pStyle w:val="Compact"/>
              <w:jc w:val="left"/>
            </w:pPr>
            <w:r>
              <w:t xml:space="preserve">Price 1: ₹9,999 (value-based, launch)</w:t>
            </w:r>
          </w:p>
        </w:tc>
        <w:tc>
          <w:tcPr/>
          <w:p>
            <w:pPr>
              <w:pStyle w:val="Compact"/>
              <w:jc w:val="left"/>
            </w:pPr>
            <w:r>
              <w:t xml:space="preserve">Price 2: ₹8,999 (cost-plus after cost reduction)</w:t>
            </w:r>
          </w:p>
        </w:tc>
      </w:tr>
      <w:tr>
        <w:tc>
          <w:tcPr/>
          <w:p>
            <w:pPr>
              <w:pStyle w:val="Compact"/>
              <w:jc w:val="left"/>
            </w:pPr>
            <w:r>
              <w:t xml:space="preserve">Rationale</w:t>
            </w:r>
          </w:p>
        </w:tc>
        <w:tc>
          <w:tcPr/>
          <w:p>
            <w:pPr>
              <w:pStyle w:val="Compact"/>
              <w:jc w:val="left"/>
            </w:pPr>
            <w:r>
              <w:t xml:space="preserve">Lowest price with LTV:CAC above 3× at small-batch cost; ≈¼ of the cheapest imported active spoon (₹35,980)</w:t>
            </w:r>
          </w:p>
        </w:tc>
        <w:tc>
          <w:tcPr/>
          <w:p>
            <w:pPr>
              <w:pStyle w:val="Compact"/>
              <w:jc w:val="left"/>
            </w:pPr>
            <w:r>
              <w:t xml:space="preserve">Cost-plus once tooling and supplier quotes bring COGS to ₹2,720 (Scenario C, from M19)</w:t>
            </w:r>
          </w:p>
        </w:tc>
      </w:tr>
      <w:tr>
        <w:tc>
          <w:tcPr/>
          <w:p>
            <w:pPr>
              <w:pStyle w:val="Compact"/>
              <w:jc w:val="left"/>
            </w:pPr>
            <w:r>
              <w:t xml:space="preserve">Price ex-GST (÷ 1.05)</w:t>
            </w:r>
          </w:p>
        </w:tc>
        <w:tc>
          <w:tcPr/>
          <w:p>
            <w:pPr>
              <w:pStyle w:val="Compact"/>
              <w:jc w:val="left"/>
            </w:pPr>
            <w:r>
              <w:t xml:space="preserve">₹9,523</w:t>
            </w:r>
          </w:p>
        </w:tc>
        <w:tc>
          <w:tcPr/>
          <w:p>
            <w:pPr>
              <w:pStyle w:val="Compact"/>
              <w:jc w:val="left"/>
            </w:pPr>
            <w:r>
              <w:t xml:space="preserve">₹8,570 at B · ₹8,570 at C</w:t>
            </w:r>
          </w:p>
        </w:tc>
      </w:tr>
      <w:tr>
        <w:tc>
          <w:tcPr/>
          <w:p>
            <w:pPr>
              <w:pStyle w:val="Compact"/>
              <w:jc w:val="left"/>
            </w:pPr>
            <w:r>
              <w:t xml:space="preserve">Clinic margin 15%</w:t>
            </w:r>
          </w:p>
        </w:tc>
        <w:tc>
          <w:tcPr/>
          <w:p>
            <w:pPr>
              <w:pStyle w:val="Compact"/>
              <w:jc w:val="left"/>
            </w:pPr>
            <w:r>
              <w:t xml:space="preserve">₹1,428</w:t>
            </w:r>
          </w:p>
        </w:tc>
        <w:tc>
          <w:tcPr/>
          <w:p>
            <w:pPr>
              <w:pStyle w:val="Compact"/>
              <w:jc w:val="left"/>
            </w:pPr>
            <w:r>
              <w:t xml:space="preserve">₹1,286 at B · ₹1,286 at C</w:t>
            </w:r>
          </w:p>
        </w:tc>
      </w:tr>
      <w:tr>
        <w:tc>
          <w:tcPr/>
          <w:p>
            <w:pPr>
              <w:pStyle w:val="Compact"/>
              <w:jc w:val="left"/>
            </w:pPr>
            <w:r>
              <w:t xml:space="preserve">Net revenue</w:t>
            </w:r>
          </w:p>
        </w:tc>
        <w:tc>
          <w:tcPr/>
          <w:p>
            <w:pPr>
              <w:pStyle w:val="Compact"/>
              <w:jc w:val="left"/>
            </w:pPr>
            <w:r>
              <w:t xml:space="preserve">₹8,094</w:t>
            </w:r>
          </w:p>
        </w:tc>
        <w:tc>
          <w:tcPr/>
          <w:p>
            <w:pPr>
              <w:pStyle w:val="Compact"/>
              <w:jc w:val="left"/>
            </w:pPr>
            <w:r>
              <w:t xml:space="preserve">₹7,285 at B · ₹7,285 at C</w:t>
            </w:r>
          </w:p>
        </w:tc>
      </w:tr>
      <w:tr>
        <w:tc>
          <w:tcPr/>
          <w:p>
            <w:pPr>
              <w:pStyle w:val="Compact"/>
              <w:jc w:val="left"/>
            </w:pPr>
            <w:r>
              <w:t xml:space="preserve">COGS</w:t>
            </w:r>
          </w:p>
        </w:tc>
        <w:tc>
          <w:tcPr/>
          <w:p>
            <w:pPr>
              <w:pStyle w:val="Compact"/>
              <w:jc w:val="left"/>
            </w:pPr>
            <w:r>
              <w:t xml:space="preserve">₹4,830</w:t>
            </w:r>
          </w:p>
        </w:tc>
        <w:tc>
          <w:tcPr/>
          <w:p>
            <w:pPr>
              <w:pStyle w:val="Compact"/>
              <w:jc w:val="left"/>
            </w:pPr>
            <w:r>
              <w:t xml:space="preserve">₹4,830 at B · ₹2,720 at C</w:t>
            </w:r>
          </w:p>
        </w:tc>
      </w:tr>
      <w:tr>
        <w:tc>
          <w:tcPr/>
          <w:p>
            <w:pPr>
              <w:pStyle w:val="Compact"/>
              <w:jc w:val="left"/>
            </w:pPr>
            <w:r>
              <w:t xml:space="preserve">Warranty 5%</w:t>
            </w:r>
          </w:p>
        </w:tc>
        <w:tc>
          <w:tcPr/>
          <w:p>
            <w:pPr>
              <w:pStyle w:val="Compact"/>
              <w:jc w:val="left"/>
            </w:pPr>
            <w:r>
              <w:t xml:space="preserve">₹476</w:t>
            </w:r>
          </w:p>
        </w:tc>
        <w:tc>
          <w:tcPr/>
          <w:p>
            <w:pPr>
              <w:pStyle w:val="Compact"/>
              <w:jc w:val="left"/>
            </w:pPr>
            <w:r>
              <w:t xml:space="preserve">₹429 at B · ₹429 at C</w:t>
            </w:r>
          </w:p>
        </w:tc>
      </w:tr>
      <w:tr>
        <w:tc>
          <w:tcPr/>
          <w:p>
            <w:pPr>
              <w:pStyle w:val="Compact"/>
              <w:jc w:val="left"/>
            </w:pPr>
            <w:r>
              <w:t xml:space="preserve">Fulfilment</w:t>
            </w:r>
          </w:p>
        </w:tc>
        <w:tc>
          <w:tcPr/>
          <w:p>
            <w:pPr>
              <w:pStyle w:val="Compact"/>
              <w:jc w:val="left"/>
            </w:pPr>
            <w:r>
              <w:t xml:space="preserve">₹250</w:t>
            </w:r>
          </w:p>
        </w:tc>
        <w:tc>
          <w:tcPr/>
          <w:p>
            <w:pPr>
              <w:pStyle w:val="Compact"/>
              <w:jc w:val="left"/>
            </w:pPr>
            <w:r>
              <w:t xml:space="preserve">₹250</w:t>
            </w:r>
          </w:p>
        </w:tc>
      </w:tr>
      <w:tr>
        <w:tc>
          <w:tcPr/>
          <w:p>
            <w:pPr>
              <w:pStyle w:val="Compact"/>
              <w:jc w:val="left"/>
            </w:pPr>
            <w:r>
              <w:rPr>
                <w:bCs/>
                <w:b/>
              </w:rPr>
              <w:t xml:space="preserve">Contribution per unit</w:t>
            </w:r>
          </w:p>
        </w:tc>
        <w:tc>
          <w:tcPr/>
          <w:p>
            <w:pPr>
              <w:pStyle w:val="Compact"/>
              <w:jc w:val="left"/>
            </w:pPr>
            <w:r>
              <w:rPr>
                <w:bCs/>
                <w:b/>
              </w:rPr>
              <w:t xml:space="preserve">₹2,538 (31.4%)</w:t>
            </w:r>
          </w:p>
        </w:tc>
        <w:tc>
          <w:tcPr/>
          <w:p>
            <w:pPr>
              <w:pStyle w:val="Compact"/>
              <w:jc w:val="left"/>
            </w:pPr>
            <w:r>
              <w:rPr>
                <w:bCs/>
                <w:b/>
              </w:rPr>
              <w:t xml:space="preserve">₹1,776 (24.4%) at B · ₹3,886 (53.3%) at C</w:t>
            </w:r>
          </w:p>
        </w:tc>
      </w:tr>
    </w:tbl>
    <w:p>
      <w:pPr>
        <w:pStyle w:val="BodyText"/>
      </w:pPr>
      <w:r>
        <w:t xml:space="preserve">Contribution margin = selling price − all variable costs of one unit (GST is collected for the government and excluded). Source: Price Matrix and TremoSense Costs sheets. ParkinSense at ₹7,999: net ₹6,101 − COGS ₹3,530 − warranty − shipping = ₹1,982 (32.5%).</w:t>
      </w:r>
    </w:p>
    <w:bookmarkEnd w:id="57"/>
    <w:bookmarkStart w:id="58" w:name="X22a752e5b52ffeafd87719dbb6743750a540c54"/>
    <w:p>
      <w:pPr>
        <w:pStyle w:val="Heading2"/>
      </w:pPr>
      <w:r>
        <w:t xml:space="preserve">2. Funnel (AARRR) — assumed targets, not measured</w:t>
      </w:r>
    </w:p>
    <w:tbl>
      <w:tblPr>
        <w:tblStyle w:val="Table"/>
        <w:tblW w:type="pct" w:w="5000"/>
        <w:tblLook w:firstRow="1" w:lastRow="0" w:firstColumn="0" w:lastColumn="0" w:noHBand="0" w:noVBand="0" w:val="0020"/>
        <w:jc w:val="start"/>
      </w:tblPr>
      <w:tblGrid>
        <w:gridCol w:w="1425"/>
        <w:gridCol w:w="1742"/>
        <w:gridCol w:w="1029"/>
        <w:gridCol w:w="1504"/>
        <w:gridCol w:w="2217"/>
      </w:tblGrid>
      <w:tr>
        <w:trPr>
          <w:tblHeader w:val="true"/>
        </w:trPr>
        <w:tc>
          <w:tcPr/>
          <w:p>
            <w:pPr>
              <w:pStyle w:val="Compact"/>
              <w:jc w:val="left"/>
            </w:pPr>
            <w:r>
              <w:t xml:space="preserve">Stage</w:t>
            </w:r>
          </w:p>
        </w:tc>
        <w:tc>
          <w:tcPr/>
          <w:p>
            <w:pPr>
              <w:pStyle w:val="Compact"/>
              <w:jc w:val="left"/>
            </w:pPr>
            <w:r>
              <w:t xml:space="preserve">Plan target (model)</w:t>
            </w:r>
          </w:p>
        </w:tc>
        <w:tc>
          <w:tcPr/>
          <w:p>
            <w:pPr>
              <w:pStyle w:val="Compact"/>
              <w:jc w:val="left"/>
            </w:pPr>
            <w:r>
              <w:t xml:space="preserve">Plan per 1,000 reached</w:t>
            </w:r>
          </w:p>
        </w:tc>
        <w:tc>
          <w:tcPr/>
          <w:p>
            <w:pPr>
              <w:pStyle w:val="Compact"/>
              <w:jc w:val="left"/>
            </w:pPr>
            <w:r>
              <w:t xml:space="preserve">Conversion formula</w:t>
            </w:r>
          </w:p>
        </w:tc>
        <w:tc>
          <w:tcPr/>
          <w:p>
            <w:pPr>
              <w:pStyle w:val="Compact"/>
              <w:jc w:val="left"/>
            </w:pPr>
            <w:r>
              <w:t xml:space="preserve">Semester result (simulated)</w:t>
            </w:r>
          </w:p>
        </w:tc>
      </w:tr>
      <w:tr>
        <w:tc>
          <w:tcPr/>
          <w:p>
            <w:pPr>
              <w:pStyle w:val="Compact"/>
              <w:jc w:val="left"/>
            </w:pPr>
            <w:r>
              <w:t xml:space="preserve">Reach (Acquisition)</w:t>
            </w:r>
          </w:p>
        </w:tc>
        <w:tc>
          <w:tcPr/>
          <w:p>
            <w:pPr>
              <w:pStyle w:val="Compact"/>
              <w:jc w:val="left"/>
            </w:pPr>
            <w:r>
              <w:t xml:space="preserve">1,000 caregivers via 10 clinics</w:t>
            </w:r>
          </w:p>
        </w:tc>
        <w:tc>
          <w:tcPr/>
          <w:p>
            <w:pPr>
              <w:pStyle w:val="Compact"/>
              <w:jc w:val="left"/>
            </w:pPr>
            <w:r>
              <w:t xml:space="preserve">1,000</w:t>
            </w:r>
          </w:p>
        </w:tc>
        <w:tc>
          <w:tcPr/>
          <w:p>
            <w:pPr>
              <w:pStyle w:val="Compact"/>
              <w:jc w:val="left"/>
            </w:pPr>
            <w:r>
              <w:t xml:space="preserve">—</w:t>
            </w:r>
          </w:p>
        </w:tc>
        <w:tc>
          <w:tcPr/>
          <w:p>
            <w:pPr>
              <w:pStyle w:val="Compact"/>
              <w:jc w:val="left"/>
            </w:pPr>
            <w:r>
              <w:t xml:space="preserve">6,550 (Instagram 6,200 + support group 350)</w:t>
            </w:r>
          </w:p>
        </w:tc>
      </w:tr>
      <w:tr>
        <w:tc>
          <w:tcPr/>
          <w:p>
            <w:pPr>
              <w:pStyle w:val="Compact"/>
              <w:jc w:val="left"/>
            </w:pPr>
            <w:r>
              <w:t xml:space="preserve">Enquiry / trial (Activation)</w:t>
            </w:r>
          </w:p>
        </w:tc>
        <w:tc>
          <w:tcPr/>
          <w:p>
            <w:pPr>
              <w:pStyle w:val="Compact"/>
              <w:jc w:val="left"/>
            </w:pPr>
            <w:r>
              <w:t xml:space="preserve">25% try it in clinic</w:t>
            </w:r>
          </w:p>
        </w:tc>
        <w:tc>
          <w:tcPr/>
          <w:p>
            <w:pPr>
              <w:pStyle w:val="Compact"/>
              <w:jc w:val="left"/>
            </w:pPr>
            <w:r>
              <w:t xml:space="preserve">250</w:t>
            </w:r>
          </w:p>
        </w:tc>
        <w:tc>
          <w:tcPr/>
          <w:p>
            <w:pPr>
              <w:pStyle w:val="Compact"/>
              <w:jc w:val="left"/>
            </w:pPr>
            <w:r>
              <w:t xml:space="preserve">trials ÷ reached</w:t>
            </w:r>
          </w:p>
        </w:tc>
        <w:tc>
          <w:tcPr/>
          <w:p>
            <w:pPr>
              <w:pStyle w:val="Compact"/>
              <w:jc w:val="left"/>
            </w:pPr>
            <w:r>
              <w:t xml:space="preserve">34 enquiries (0.52%) → 5 pilot trials</w:t>
            </w:r>
          </w:p>
        </w:tc>
      </w:tr>
      <w:tr>
        <w:tc>
          <w:tcPr/>
          <w:p>
            <w:pPr>
              <w:pStyle w:val="Compact"/>
              <w:jc w:val="left"/>
            </w:pPr>
            <w:r>
              <w:t xml:space="preserve">Purchase (Revenue)</w:t>
            </w:r>
          </w:p>
        </w:tc>
        <w:tc>
          <w:tcPr/>
          <w:p>
            <w:pPr>
              <w:pStyle w:val="Compact"/>
              <w:jc w:val="left"/>
            </w:pPr>
            <w:r>
              <w:t xml:space="preserve">40% of trials buy</w:t>
            </w:r>
          </w:p>
        </w:tc>
        <w:tc>
          <w:tcPr/>
          <w:p>
            <w:pPr>
              <w:pStyle w:val="Compact"/>
              <w:jc w:val="left"/>
            </w:pPr>
            <w:r>
              <w:t xml:space="preserve">100</w:t>
            </w:r>
          </w:p>
        </w:tc>
        <w:tc>
          <w:tcPr/>
          <w:p>
            <w:pPr>
              <w:pStyle w:val="Compact"/>
              <w:jc w:val="left"/>
            </w:pPr>
            <w:r>
              <w:t xml:space="preserve">buyers ÷ trials</w:t>
            </w:r>
          </w:p>
        </w:tc>
        <w:tc>
          <w:tcPr/>
          <w:p>
            <w:pPr>
              <w:pStyle w:val="Compact"/>
              <w:jc w:val="left"/>
            </w:pPr>
            <w:r>
              <w:t xml:space="preserve">3 refundable deposits = 60% of trials</w:t>
            </w:r>
          </w:p>
        </w:tc>
      </w:tr>
      <w:tr>
        <w:tc>
          <w:tcPr/>
          <w:p>
            <w:pPr>
              <w:pStyle w:val="Compact"/>
              <w:jc w:val="left"/>
            </w:pPr>
            <w:r>
              <w:t xml:space="preserve">Retention</w:t>
            </w:r>
          </w:p>
        </w:tc>
        <w:tc>
          <w:tcPr/>
          <w:p>
            <w:pPr>
              <w:pStyle w:val="Compact"/>
              <w:jc w:val="left"/>
            </w:pPr>
            <w:r>
              <w:t xml:space="preserve">≥70% daily use at day 30</w:t>
            </w:r>
          </w:p>
        </w:tc>
        <w:tc>
          <w:tcPr/>
          <w:p>
            <w:pPr>
              <w:pStyle w:val="Compact"/>
              <w:jc w:val="left"/>
            </w:pPr>
            <w:r>
              <w:t xml:space="preserve">70</w:t>
            </w:r>
          </w:p>
        </w:tc>
        <w:tc>
          <w:tcPr/>
          <w:p>
            <w:pPr>
              <w:pStyle w:val="Compact"/>
              <w:jc w:val="left"/>
            </w:pPr>
            <w:r>
              <w:t xml:space="preserve">active at day 30 ÷ buyers</w:t>
            </w:r>
          </w:p>
        </w:tc>
        <w:tc>
          <w:tcPr/>
          <w:p>
            <w:pPr>
              <w:pStyle w:val="Compact"/>
              <w:jc w:val="left"/>
            </w:pPr>
            <w:r>
              <w:t xml:space="preserve">4 of 5 pilot users still using at day 28 (80%)</w:t>
            </w:r>
          </w:p>
        </w:tc>
      </w:tr>
      <w:tr>
        <w:tc>
          <w:tcPr/>
          <w:p>
            <w:pPr>
              <w:pStyle w:val="Compact"/>
              <w:jc w:val="left"/>
            </w:pPr>
            <w:r>
              <w:t xml:space="preserve">Referral</w:t>
            </w:r>
          </w:p>
        </w:tc>
        <w:tc>
          <w:tcPr/>
          <w:p>
            <w:pPr>
              <w:pStyle w:val="Compact"/>
              <w:jc w:val="left"/>
            </w:pPr>
            <w:r>
              <w:t xml:space="preserve">15% refer another family</w:t>
            </w:r>
          </w:p>
        </w:tc>
        <w:tc>
          <w:tcPr/>
          <w:p>
            <w:pPr>
              <w:pStyle w:val="Compact"/>
              <w:jc w:val="left"/>
            </w:pPr>
            <w:r>
              <w:t xml:space="preserve">15</w:t>
            </w:r>
          </w:p>
        </w:tc>
        <w:tc>
          <w:tcPr/>
          <w:p>
            <w:pPr>
              <w:pStyle w:val="Compact"/>
              <w:jc w:val="left"/>
            </w:pPr>
            <w:r>
              <w:t xml:space="preserve">referrers ÷ buyers</w:t>
            </w:r>
          </w:p>
        </w:tc>
        <w:tc>
          <w:tcPr/>
          <w:p>
            <w:pPr>
              <w:pStyle w:val="Compact"/>
              <w:jc w:val="left"/>
            </w:pPr>
            <w:r>
              <w:t xml:space="preserve">1 of 3 depositors referred a family (33%)</w:t>
            </w:r>
          </w:p>
        </w:tc>
      </w:tr>
    </w:tbl>
    <w:p>
      <w:pPr>
        <w:pStyle w:val="BodyText"/>
      </w:pPr>
      <w:r>
        <w:rPr>
          <w:bCs/>
          <w:b/>
        </w:rPr>
        <w:t xml:space="preserve">Preorders (simulated semester case study):</w:t>
      </w:r>
      <w:r>
        <w:t xml:space="preserve"> </w:t>
      </w:r>
      <w:r>
        <w:t xml:space="preserve">3 refundable ₹1,000 deposits at ₹9,999 from pilot caregivers, 18–19 Sep 2026, total ₹3,000. Real payment records will replace this entry; deposits are refundable and are not counted as revenue in the model.</w:t>
      </w:r>
    </w:p>
    <w:bookmarkEnd w:id="58"/>
    <w:bookmarkStart w:id="59" w:name="Xfec0fca339327d36748e8d64b7637f49d8bf78a"/>
    <w:p>
      <w:pPr>
        <w:pStyle w:val="Heading2"/>
      </w:pPr>
      <w:r>
        <w:t xml:space="preserve">3. Plan to collect real willingness-to-pay evidence</w:t>
      </w:r>
    </w:p>
    <w:p>
      <w:pPr>
        <w:numPr>
          <w:ilvl w:val="0"/>
          <w:numId w:val="1002"/>
        </w:numPr>
        <w:pStyle w:val="Compact"/>
      </w:pPr>
      <w:r>
        <w:t xml:space="preserve">During the M6 user study, ask each participant a Van Westendorp price ladder (too cheap / bargain / getting expensive / too expensive) and record exact answers.</w:t>
      </w:r>
    </w:p>
    <w:p>
      <w:pPr>
        <w:numPr>
          <w:ilvl w:val="0"/>
          <w:numId w:val="1002"/>
        </w:numPr>
        <w:pStyle w:val="Compact"/>
      </w:pPr>
      <w:r>
        <w:t xml:space="preserve">Offer a refundable ₹1,000 preorder deposit at ₹9,999 to participants and caregivers after the session; count deposits, not compliments.</w:t>
      </w:r>
    </w:p>
    <w:p>
      <w:pPr>
        <w:numPr>
          <w:ilvl w:val="0"/>
          <w:numId w:val="1002"/>
        </w:numPr>
        <w:pStyle w:val="Compact"/>
      </w:pPr>
      <w:r>
        <w:t xml:space="preserve">At two clinics, show ₹9,999 and at two others ₹8,999 (A/B by clinic) and record enquiry → trial → deposit conversion.</w:t>
      </w:r>
    </w:p>
    <w:bookmarkEnd w:id="59"/>
    <w:bookmarkStart w:id="60" w:name="ip-note-legalip-basics"/>
    <w:p>
      <w:pPr>
        <w:pStyle w:val="Heading2"/>
      </w:pPr>
      <w:r>
        <w:t xml:space="preserve">4. IP note (Legal/IP basics)</w:t>
      </w:r>
    </w:p>
    <w:p>
      <w:pPr>
        <w:pStyle w:val="FirstParagraph"/>
      </w:pPr>
      <w:r>
        <w:rPr>
          <w:bCs/>
          <w:b/>
        </w:rPr>
        <w:t xml:space="preserve">Patent:</w:t>
      </w:r>
      <w:r>
        <w:t xml:space="preserve"> </w:t>
      </w:r>
      <w:r>
        <w:t xml:space="preserve">a provisional patent filing is</w:t>
      </w:r>
      <w:r>
        <w:t xml:space="preserve"> </w:t>
      </w:r>
      <w:r>
        <w:rPr>
          <w:iCs/>
          <w:i/>
        </w:rPr>
        <w:t xml:space="preserve">planned</w:t>
      </w:r>
      <w:r>
        <w:t xml:space="preserve"> </w:t>
      </w:r>
      <w:r>
        <w:t xml:space="preserve">for M2 (not filed) covering the stabilisation control arrangement.</w:t>
      </w:r>
      <w:r>
        <w:t xml:space="preserve"> </w:t>
      </w:r>
      <w:r>
        <w:rPr>
          <w:bCs/>
          <w:b/>
        </w:rPr>
        <w:t xml:space="preserve">Trademark:</w:t>
      </w:r>
      <w:r>
        <w:t xml:space="preserve"> </w:t>
      </w:r>
      <w:r>
        <w:t xml:space="preserve">“AVERRA”, “ParkinSense” and “TremoSense” should be searched and filed (Class 10 medical devices, Class 9 software).</w:t>
      </w:r>
      <w:r>
        <w:t xml:space="preserve"> </w:t>
      </w:r>
      <w:r>
        <w:rPr>
          <w:bCs/>
          <w:b/>
        </w:rPr>
        <w:t xml:space="preserve">Copyright:</w:t>
      </w:r>
      <w:r>
        <w:t xml:space="preserve"> </w:t>
      </w:r>
      <w:r>
        <w:t xml:space="preserve">firmware, dashboard code and documentation are protected automatically; record authorship and inventor assignments to the company before any filing.</w:t>
      </w:r>
    </w:p>
    <w:bookmarkEnd w:id="60"/>
    <w:bookmarkEnd w:id="61"/>
    <w:bookmarkStart w:id="67" w:name="M3.1"/>
    <w:p>
      <w:pPr>
        <w:pStyle w:val="BodyText"/>
      </w:pPr>
      <w:r>
        <w:t xml:space="preserve">M3 · Activity 1 · Mandatory Model M3.1</w:t>
      </w:r>
    </w:p>
    <w:bookmarkStart w:id="62" w:name="X6a05c982e519df003f935d988bc8b3df410ebb8"/>
    <w:p>
      <w:pPr>
        <w:pStyle w:val="Heading1"/>
      </w:pPr>
      <w:r>
        <w:t xml:space="preserve">Operating System &amp; Delivery-Process Blueprint</w:t>
      </w:r>
    </w:p>
    <w:tbl>
      <w:tblPr>
        <w:tblStyle w:val="Table"/>
        <w:tblW w:type="auto" w:w="0"/>
        <w:tblLook w:firstRow="0" w:lastRow="0" w:firstColumn="0" w:lastColumn="0" w:noHBand="0" w:noVBand="0" w:val="0000"/>
        <w:jc w:val="start"/>
      </w:tblPr>
      <w:tblGrid>
        <w:gridCol w:w="1980"/>
        <w:gridCol w:w="1980"/>
        <w:gridCol w:w="1980"/>
        <w:gridCol w:w="1980"/>
      </w:tblGrid>
      <w:tr>
        <w:tc>
          <w:tcPr/>
          <w:p>
            <w:pPr>
              <w:pStyle w:val="Compact"/>
              <w:jc w:val="left"/>
            </w:pPr>
            <w:r>
              <w:rPr>
                <w:bCs/>
                <w:b/>
              </w:rPr>
              <w:t xml:space="preserve">Module</w:t>
            </w:r>
            <w:r>
              <w:t xml:space="preserve"> </w:t>
            </w:r>
            <w:r>
              <w:t xml:space="preserve">3</w:t>
            </w:r>
          </w:p>
        </w:tc>
        <w:tc>
          <w:tcPr/>
          <w:p>
            <w:pPr>
              <w:pStyle w:val="Compact"/>
              <w:jc w:val="left"/>
            </w:pPr>
            <w:r>
              <w:rPr>
                <w:bCs/>
                <w:b/>
              </w:rPr>
              <w:t xml:space="preserve">Activity</w:t>
            </w:r>
            <w:r>
              <w:t xml:space="preserve"> </w:t>
            </w:r>
            <w:r>
              <w:t xml:space="preserve">1</w:t>
            </w:r>
          </w:p>
        </w:tc>
        <w:tc>
          <w:tcPr/>
          <w:p>
            <w:pPr>
              <w:pStyle w:val="Compact"/>
              <w:jc w:val="left"/>
            </w:pPr>
            <w:r>
              <w:rPr>
                <w:bCs/>
                <w:b/>
              </w:rPr>
              <w:t xml:space="preserve">Date completed</w:t>
            </w:r>
            <w:r>
              <w:t xml:space="preserve"> </w:t>
            </w:r>
            <w:r>
              <w:t xml:space="preserve">23 Sep 2026</w:t>
            </w:r>
          </w:p>
        </w:tc>
        <w:tc>
          <w:tcPr/>
          <w:p>
            <w:pPr>
              <w:pStyle w:val="Compact"/>
              <w:jc w:val="left"/>
            </w:pPr>
            <w:r>
              <w:rPr>
                <w:bCs/>
                <w:b/>
              </w:rPr>
              <w:t xml:space="preserve">Venture</w:t>
            </w:r>
            <w:r>
              <w:t xml:space="preserve"> </w:t>
            </w:r>
            <w:r>
              <w:t xml:space="preserve">AVERRA</w:t>
            </w:r>
          </w:p>
        </w:tc>
      </w:tr>
      <w:tr>
        <w:tc>
          <w:tcPr>
            <w:gridSpan w:val="4"/>
          </w:tcPr>
          <w:p>
            <w:pPr>
              <w:pStyle w:val="Compact"/>
              <w:jc w:val="left"/>
            </w:pPr>
            <w:r>
              <w:rPr>
                <w:bCs/>
                <w:b/>
              </w:rPr>
              <w:t xml:space="preserve">Evidence status:</w:t>
            </w:r>
            <w:r>
              <w:t xml:space="preserve"> </w:t>
            </w:r>
            <w:r>
              <w:t xml:space="preserve">Completed · estimated timings</w:t>
            </w:r>
          </w:p>
        </w:tc>
      </w:tr>
      <w:tr>
        <w:tc>
          <w:tcPr>
            <w:gridSpan w:val="4"/>
          </w:tcPr>
          <w:p>
            <w:pPr>
              <w:pStyle w:val="Compact"/>
              <w:jc w:val="left"/>
            </w:pPr>
            <w:r>
              <w:t xml:space="preserve">Data note: Step times are estimates for a 100-unit pilot batch, to be measured on the first batch.</w:t>
            </w:r>
          </w:p>
        </w:tc>
      </w:tr>
    </w:tbl>
    <w:bookmarkEnd w:id="62"/>
    <w:p>
      <w:pPr>
        <w:pStyle w:val="BodyText"/>
      </w:pPr>
      <w:r>
        <w:t xml:space="preserve">All times below are</w:t>
      </w:r>
      <w:r>
        <w:t xml:space="preserve"> </w:t>
      </w:r>
      <w:r>
        <w:rPr>
          <w:bCs/>
          <w:b/>
        </w:rPr>
        <w:t xml:space="preserve">estimates</w:t>
      </w:r>
      <w:r>
        <w:t xml:space="preserve"> </w:t>
      </w:r>
      <w:r>
        <w:t xml:space="preserve">for a 100-unit pilot batch; none has been measured yet. Measure each step on the first pilot batch and replace the estimate.</w:t>
      </w:r>
    </w:p>
    <w:bookmarkStart w:id="63" w:name="tremosense-order-to-support"/>
    <w:p>
      <w:pPr>
        <w:pStyle w:val="Heading2"/>
      </w:pPr>
      <w:r>
        <w:t xml:space="preserve">1. TremoSense: order to support</w:t>
      </w:r>
    </w:p>
    <w:tbl>
      <w:tblPr>
        <w:tblStyle w:val="Table"/>
        <w:tblW w:type="pct" w:w="5000"/>
        <w:tblLook w:firstRow="1" w:lastRow="0" w:firstColumn="0" w:lastColumn="0" w:noHBand="0" w:noVBand="0" w:val="0020"/>
        <w:jc w:val="start"/>
      </w:tblPr>
      <w:tblGrid>
        <w:gridCol w:w="396"/>
        <w:gridCol w:w="4356"/>
        <w:gridCol w:w="1742"/>
        <w:gridCol w:w="1425"/>
      </w:tblGrid>
      <w:tr>
        <w:trPr>
          <w:tblHeader w:val="true"/>
        </w:trPr>
        <w:tc>
          <w:tcPr/>
          <w:p>
            <w:pPr>
              <w:pStyle w:val="Compact"/>
              <w:jc w:val="left"/>
            </w:pPr>
            <w:r>
              <w:t xml:space="preserve">#</w:t>
            </w:r>
          </w:p>
        </w:tc>
        <w:tc>
          <w:tcPr/>
          <w:p>
            <w:pPr>
              <w:pStyle w:val="Compact"/>
              <w:jc w:val="left"/>
            </w:pPr>
            <w:r>
              <w:t xml:space="preserve">Step</w:t>
            </w:r>
          </w:p>
        </w:tc>
        <w:tc>
          <w:tcPr/>
          <w:p>
            <w:pPr>
              <w:pStyle w:val="Compact"/>
              <w:jc w:val="left"/>
            </w:pPr>
            <w:r>
              <w:t xml:space="preserve">Owner</w:t>
            </w:r>
          </w:p>
        </w:tc>
        <w:tc>
          <w:tcPr/>
          <w:p>
            <w:pPr>
              <w:pStyle w:val="Compact"/>
              <w:jc w:val="left"/>
            </w:pPr>
            <w:r>
              <w:t xml:space="preserve">Estimated time</w:t>
            </w:r>
          </w:p>
        </w:tc>
      </w:tr>
      <w:tr>
        <w:tc>
          <w:tcPr/>
          <w:p>
            <w:pPr>
              <w:pStyle w:val="Compact"/>
              <w:jc w:val="left"/>
            </w:pPr>
            <w:r>
              <w:t xml:space="preserve">1</w:t>
            </w:r>
          </w:p>
        </w:tc>
        <w:tc>
          <w:tcPr/>
          <w:p>
            <w:pPr>
              <w:pStyle w:val="Compact"/>
              <w:jc w:val="left"/>
            </w:pPr>
            <w:r>
              <w:t xml:space="preserve">Clinic/OT referral → in-clinic trial booked</w:t>
            </w:r>
          </w:p>
        </w:tc>
        <w:tc>
          <w:tcPr/>
          <w:p>
            <w:pPr>
              <w:pStyle w:val="Compact"/>
              <w:jc w:val="left"/>
            </w:pPr>
            <w:r>
              <w:t xml:space="preserve">Clinic + AVERRA</w:t>
            </w:r>
          </w:p>
        </w:tc>
        <w:tc>
          <w:tcPr/>
          <w:p>
            <w:pPr>
              <w:pStyle w:val="Compact"/>
              <w:jc w:val="left"/>
            </w:pPr>
            <w:r>
              <w:t xml:space="preserve">1–3 days</w:t>
            </w:r>
          </w:p>
        </w:tc>
      </w:tr>
      <w:tr>
        <w:tc>
          <w:tcPr/>
          <w:p>
            <w:pPr>
              <w:pStyle w:val="Compact"/>
              <w:jc w:val="left"/>
            </w:pPr>
            <w:r>
              <w:t xml:space="preserve">2</w:t>
            </w:r>
          </w:p>
        </w:tc>
        <w:tc>
          <w:tcPr/>
          <w:p>
            <w:pPr>
              <w:pStyle w:val="Compact"/>
              <w:jc w:val="left"/>
            </w:pPr>
            <w:r>
              <w:t xml:space="preserve">Trial session and order (sale or rental)</w:t>
            </w:r>
          </w:p>
        </w:tc>
        <w:tc>
          <w:tcPr/>
          <w:p>
            <w:pPr>
              <w:pStyle w:val="Compact"/>
              <w:jc w:val="left"/>
            </w:pPr>
            <w:r>
              <w:t xml:space="preserve">Clinic staff</w:t>
            </w:r>
          </w:p>
        </w:tc>
        <w:tc>
          <w:tcPr/>
          <w:p>
            <w:pPr>
              <w:pStyle w:val="Compact"/>
              <w:jc w:val="left"/>
            </w:pPr>
            <w:r>
              <w:t xml:space="preserve">30 min</w:t>
            </w:r>
          </w:p>
        </w:tc>
      </w:tr>
      <w:tr>
        <w:tc>
          <w:tcPr/>
          <w:p>
            <w:pPr>
              <w:pStyle w:val="Compact"/>
              <w:jc w:val="left"/>
            </w:pPr>
            <w:r>
              <w:t xml:space="preserve">3</w:t>
            </w:r>
          </w:p>
        </w:tc>
        <w:tc>
          <w:tcPr/>
          <w:p>
            <w:pPr>
              <w:pStyle w:val="Compact"/>
              <w:jc w:val="left"/>
            </w:pPr>
            <w:r>
              <w:t xml:space="preserve">Pick sub-assemblies from stock</w:t>
            </w:r>
          </w:p>
        </w:tc>
        <w:tc>
          <w:tcPr/>
          <w:p>
            <w:pPr>
              <w:pStyle w:val="Compact"/>
              <w:jc w:val="left"/>
            </w:pPr>
            <w:r>
              <w:t xml:space="preserve">Operations</w:t>
            </w:r>
          </w:p>
        </w:tc>
        <w:tc>
          <w:tcPr/>
          <w:p>
            <w:pPr>
              <w:pStyle w:val="Compact"/>
              <w:jc w:val="left"/>
            </w:pPr>
            <w:r>
              <w:t xml:space="preserve">10 min</w:t>
            </w:r>
          </w:p>
        </w:tc>
      </w:tr>
      <w:tr>
        <w:tc>
          <w:tcPr/>
          <w:p>
            <w:pPr>
              <w:pStyle w:val="Compact"/>
              <w:jc w:val="left"/>
            </w:pPr>
            <w:r>
              <w:t xml:space="preserve">4</w:t>
            </w:r>
          </w:p>
        </w:tc>
        <w:tc>
          <w:tcPr/>
          <w:p>
            <w:pPr>
              <w:pStyle w:val="Compact"/>
              <w:jc w:val="left"/>
            </w:pPr>
            <w:r>
              <w:t xml:space="preserve">Final assembly (gimbal, servos, battery)</w:t>
            </w:r>
          </w:p>
        </w:tc>
        <w:tc>
          <w:tcPr/>
          <w:p>
            <w:pPr>
              <w:pStyle w:val="Compact"/>
              <w:jc w:val="left"/>
            </w:pPr>
            <w:r>
              <w:t xml:space="preserve">Contract assembler</w:t>
            </w:r>
          </w:p>
        </w:tc>
        <w:tc>
          <w:tcPr/>
          <w:p>
            <w:pPr>
              <w:pStyle w:val="Compact"/>
              <w:jc w:val="left"/>
            </w:pPr>
            <w:r>
              <w:t xml:space="preserve">40 min</w:t>
            </w:r>
          </w:p>
        </w:tc>
      </w:tr>
      <w:tr>
        <w:tc>
          <w:tcPr/>
          <w:p>
            <w:pPr>
              <w:pStyle w:val="Compact"/>
              <w:jc w:val="left"/>
            </w:pPr>
            <w:r>
              <w:t xml:space="preserve">5</w:t>
            </w:r>
          </w:p>
        </w:tc>
        <w:tc>
          <w:tcPr/>
          <w:p>
            <w:pPr>
              <w:pStyle w:val="Compact"/>
              <w:jc w:val="left"/>
            </w:pPr>
            <w:r>
              <w:rPr>
                <w:bCs/>
                <w:b/>
              </w:rPr>
              <w:t xml:space="preserve">Servo calibration + tremor-rejection test on the simulator rig</w:t>
            </w:r>
          </w:p>
        </w:tc>
        <w:tc>
          <w:tcPr/>
          <w:p>
            <w:pPr>
              <w:pStyle w:val="Compact"/>
              <w:jc w:val="left"/>
            </w:pPr>
            <w:r>
              <w:t xml:space="preserve">Founders (hardware &amp; test)</w:t>
            </w:r>
          </w:p>
        </w:tc>
        <w:tc>
          <w:tcPr/>
          <w:p>
            <w:pPr>
              <w:pStyle w:val="Compact"/>
              <w:jc w:val="left"/>
            </w:pPr>
            <w:r>
              <w:rPr>
                <w:bCs/>
                <w:b/>
              </w:rPr>
              <w:t xml:space="preserve">45 min per unit</w:t>
            </w:r>
          </w:p>
        </w:tc>
      </w:tr>
      <w:tr>
        <w:tc>
          <w:tcPr/>
          <w:p>
            <w:pPr>
              <w:pStyle w:val="Compact"/>
              <w:jc w:val="left"/>
            </w:pPr>
            <w:r>
              <w:t xml:space="preserve">6</w:t>
            </w:r>
          </w:p>
        </w:tc>
        <w:tc>
          <w:tcPr/>
          <w:p>
            <w:pPr>
              <w:pStyle w:val="Compact"/>
              <w:jc w:val="left"/>
            </w:pPr>
            <w:r>
              <w:t xml:space="preserve">Safety check, cleaning of food-contact head, packing</w:t>
            </w:r>
          </w:p>
        </w:tc>
        <w:tc>
          <w:tcPr/>
          <w:p>
            <w:pPr>
              <w:pStyle w:val="Compact"/>
              <w:jc w:val="left"/>
            </w:pPr>
            <w:r>
              <w:t xml:space="preserve">Operations</w:t>
            </w:r>
          </w:p>
        </w:tc>
        <w:tc>
          <w:tcPr/>
          <w:p>
            <w:pPr>
              <w:pStyle w:val="Compact"/>
              <w:jc w:val="left"/>
            </w:pPr>
            <w:r>
              <w:t xml:space="preserve">15 min</w:t>
            </w:r>
          </w:p>
        </w:tc>
      </w:tr>
      <w:tr>
        <w:tc>
          <w:tcPr/>
          <w:p>
            <w:pPr>
              <w:pStyle w:val="Compact"/>
              <w:jc w:val="left"/>
            </w:pPr>
            <w:r>
              <w:t xml:space="preserve">7</w:t>
            </w:r>
          </w:p>
        </w:tc>
        <w:tc>
          <w:tcPr/>
          <w:p>
            <w:pPr>
              <w:pStyle w:val="Compact"/>
              <w:jc w:val="left"/>
            </w:pPr>
            <w:r>
              <w:t xml:space="preserve">Courier to home or clinic</w:t>
            </w:r>
          </w:p>
        </w:tc>
        <w:tc>
          <w:tcPr/>
          <w:p>
            <w:pPr>
              <w:pStyle w:val="Compact"/>
              <w:jc w:val="left"/>
            </w:pPr>
            <w:r>
              <w:t xml:space="preserve">Courier</w:t>
            </w:r>
          </w:p>
        </w:tc>
        <w:tc>
          <w:tcPr/>
          <w:p>
            <w:pPr>
              <w:pStyle w:val="Compact"/>
              <w:jc w:val="left"/>
            </w:pPr>
            <w:r>
              <w:t xml:space="preserve">2–4 days</w:t>
            </w:r>
          </w:p>
        </w:tc>
      </w:tr>
      <w:tr>
        <w:tc>
          <w:tcPr/>
          <w:p>
            <w:pPr>
              <w:pStyle w:val="Compact"/>
              <w:jc w:val="left"/>
            </w:pPr>
            <w:r>
              <w:t xml:space="preserve">8</w:t>
            </w:r>
          </w:p>
        </w:tc>
        <w:tc>
          <w:tcPr/>
          <w:p>
            <w:pPr>
              <w:pStyle w:val="Compact"/>
              <w:jc w:val="left"/>
            </w:pPr>
            <w:r>
              <w:t xml:space="preserve">Onboarding call with caregiver; 7-day check-in</w:t>
            </w:r>
          </w:p>
        </w:tc>
        <w:tc>
          <w:tcPr/>
          <w:p>
            <w:pPr>
              <w:pStyle w:val="Compact"/>
              <w:jc w:val="left"/>
            </w:pPr>
            <w:r>
              <w:t xml:space="preserve">Support</w:t>
            </w:r>
          </w:p>
        </w:tc>
        <w:tc>
          <w:tcPr/>
          <w:p>
            <w:pPr>
              <w:pStyle w:val="Compact"/>
              <w:jc w:val="left"/>
            </w:pPr>
            <w:r>
              <w:t xml:space="preserve">20 min + 10 min</w:t>
            </w:r>
          </w:p>
        </w:tc>
      </w:tr>
    </w:tbl>
    <w:p>
      <w:pPr>
        <w:pStyle w:val="BodyText"/>
      </w:pPr>
      <w:r>
        <w:rPr>
          <w:bCs/>
          <w:b/>
        </w:rPr>
        <w:t xml:space="preserve">Bottleneck:</w:t>
      </w:r>
      <w:r>
        <w:t xml:space="preserve"> </w:t>
      </w:r>
      <w:r>
        <w:t xml:space="preserve">step 5. One rig and two founders give ≈9 units/day, slower than assembly.</w:t>
      </w:r>
      <w:r>
        <w:t xml:space="preserve"> </w:t>
      </w:r>
      <w:r>
        <w:rPr>
          <w:bCs/>
          <w:b/>
        </w:rPr>
        <w:t xml:space="preserve">Redesign (no new spend first):</w:t>
      </w:r>
      <w:r>
        <w:t xml:space="preserve"> </w:t>
      </w:r>
      <w:r>
        <w:t xml:space="preserve">run calibration as a scripted batch on the existing rig (firmware self-test + automatic pass/fail on the logged IMU), test 4 units per rig cycle, and only hand-check failures. Target ≈12 min per unit.</w:t>
      </w:r>
    </w:p>
    <w:bookmarkEnd w:id="63"/>
    <w:bookmarkStart w:id="64" w:name="parkinsense-online-order-to-support"/>
    <w:p>
      <w:pPr>
        <w:pStyle w:val="Heading2"/>
      </w:pPr>
      <w:r>
        <w:t xml:space="preserve">2. ParkinSense: online order to support</w:t>
      </w:r>
    </w:p>
    <w:tbl>
      <w:tblPr>
        <w:tblStyle w:val="Table"/>
        <w:tblW w:type="pct" w:w="5000"/>
        <w:tblLook w:firstRow="1" w:lastRow="0" w:firstColumn="0" w:lastColumn="0" w:noHBand="0" w:noVBand="0" w:val="0020"/>
        <w:jc w:val="start"/>
      </w:tblPr>
      <w:tblGrid>
        <w:gridCol w:w="396"/>
        <w:gridCol w:w="5544"/>
        <w:gridCol w:w="1980"/>
      </w:tblGrid>
      <w:tr>
        <w:trPr>
          <w:tblHeader w:val="true"/>
        </w:trPr>
        <w:tc>
          <w:tcPr/>
          <w:p>
            <w:pPr>
              <w:pStyle w:val="Compact"/>
              <w:jc w:val="left"/>
            </w:pPr>
            <w:r>
              <w:t xml:space="preserve">#</w:t>
            </w:r>
          </w:p>
        </w:tc>
        <w:tc>
          <w:tcPr/>
          <w:p>
            <w:pPr>
              <w:pStyle w:val="Compact"/>
              <w:jc w:val="left"/>
            </w:pPr>
            <w:r>
              <w:t xml:space="preserve">Step</w:t>
            </w:r>
          </w:p>
        </w:tc>
        <w:tc>
          <w:tcPr/>
          <w:p>
            <w:pPr>
              <w:pStyle w:val="Compact"/>
              <w:jc w:val="left"/>
            </w:pPr>
            <w:r>
              <w:t xml:space="preserve">Estimated time</w:t>
            </w:r>
          </w:p>
        </w:tc>
      </w:tr>
      <w:tr>
        <w:tc>
          <w:tcPr/>
          <w:p>
            <w:pPr>
              <w:pStyle w:val="Compact"/>
              <w:jc w:val="left"/>
            </w:pPr>
            <w:r>
              <w:t xml:space="preserve">1</w:t>
            </w:r>
          </w:p>
        </w:tc>
        <w:tc>
          <w:tcPr/>
          <w:p>
            <w:pPr>
              <w:pStyle w:val="Compact"/>
              <w:jc w:val="left"/>
            </w:pPr>
            <w:r>
              <w:t xml:space="preserve">Online order and payment</w:t>
            </w:r>
          </w:p>
        </w:tc>
        <w:tc>
          <w:tcPr/>
          <w:p>
            <w:pPr>
              <w:pStyle w:val="Compact"/>
              <w:jc w:val="left"/>
            </w:pPr>
            <w:r>
              <w:t xml:space="preserve">instant</w:t>
            </w:r>
          </w:p>
        </w:tc>
      </w:tr>
      <w:tr>
        <w:tc>
          <w:tcPr/>
          <w:p>
            <w:pPr>
              <w:pStyle w:val="Compact"/>
              <w:jc w:val="left"/>
            </w:pPr>
            <w:r>
              <w:t xml:space="preserve">2</w:t>
            </w:r>
          </w:p>
        </w:tc>
        <w:tc>
          <w:tcPr/>
          <w:p>
            <w:pPr>
              <w:pStyle w:val="Compact"/>
              <w:jc w:val="left"/>
            </w:pPr>
            <w:r>
              <w:t xml:space="preserve">Flash firmware, pair, register device ID</w:t>
            </w:r>
          </w:p>
        </w:tc>
        <w:tc>
          <w:tcPr/>
          <w:p>
            <w:pPr>
              <w:pStyle w:val="Compact"/>
              <w:jc w:val="left"/>
            </w:pPr>
            <w:r>
              <w:t xml:space="preserve">10 min</w:t>
            </w:r>
          </w:p>
        </w:tc>
      </w:tr>
      <w:tr>
        <w:tc>
          <w:tcPr/>
          <w:p>
            <w:pPr>
              <w:pStyle w:val="Compact"/>
              <w:jc w:val="left"/>
            </w:pPr>
            <w:r>
              <w:t xml:space="preserve">3</w:t>
            </w:r>
          </w:p>
        </w:tc>
        <w:tc>
          <w:tcPr/>
          <w:p>
            <w:pPr>
              <w:pStyle w:val="Compact"/>
              <w:jc w:val="left"/>
            </w:pPr>
            <w:r>
              <w:rPr>
                <w:bCs/>
                <w:b/>
              </w:rPr>
              <w:t xml:space="preserve">BLE streaming soak test (packet loss, battery)</w:t>
            </w:r>
          </w:p>
        </w:tc>
        <w:tc>
          <w:tcPr/>
          <w:p>
            <w:pPr>
              <w:pStyle w:val="Compact"/>
              <w:jc w:val="left"/>
            </w:pPr>
            <w:r>
              <w:rPr>
                <w:bCs/>
                <w:b/>
              </w:rPr>
              <w:t xml:space="preserve">8 h per batch</w:t>
            </w:r>
          </w:p>
        </w:tc>
      </w:tr>
      <w:tr>
        <w:tc>
          <w:tcPr/>
          <w:p>
            <w:pPr>
              <w:pStyle w:val="Compact"/>
              <w:jc w:val="left"/>
            </w:pPr>
            <w:r>
              <w:t xml:space="preserve">4</w:t>
            </w:r>
          </w:p>
        </w:tc>
        <w:tc>
          <w:tcPr/>
          <w:p>
            <w:pPr>
              <w:pStyle w:val="Compact"/>
              <w:jc w:val="left"/>
            </w:pPr>
            <w:r>
              <w:t xml:space="preserve">Strap fit, pack</w:t>
            </w:r>
          </w:p>
        </w:tc>
        <w:tc>
          <w:tcPr/>
          <w:p>
            <w:pPr>
              <w:pStyle w:val="Compact"/>
              <w:jc w:val="left"/>
            </w:pPr>
            <w:r>
              <w:t xml:space="preserve">10 min</w:t>
            </w:r>
          </w:p>
        </w:tc>
      </w:tr>
      <w:tr>
        <w:tc>
          <w:tcPr/>
          <w:p>
            <w:pPr>
              <w:pStyle w:val="Compact"/>
              <w:jc w:val="left"/>
            </w:pPr>
            <w:r>
              <w:t xml:space="preserve">5</w:t>
            </w:r>
          </w:p>
        </w:tc>
        <w:tc>
          <w:tcPr/>
          <w:p>
            <w:pPr>
              <w:pStyle w:val="Compact"/>
              <w:jc w:val="left"/>
            </w:pPr>
            <w:r>
              <w:t xml:space="preserve">Courier</w:t>
            </w:r>
          </w:p>
        </w:tc>
        <w:tc>
          <w:tcPr/>
          <w:p>
            <w:pPr>
              <w:pStyle w:val="Compact"/>
              <w:jc w:val="left"/>
            </w:pPr>
            <w:r>
              <w:t xml:space="preserve">2–4 days</w:t>
            </w:r>
          </w:p>
        </w:tc>
      </w:tr>
      <w:tr>
        <w:tc>
          <w:tcPr/>
          <w:p>
            <w:pPr>
              <w:pStyle w:val="Compact"/>
              <w:jc w:val="left"/>
            </w:pPr>
            <w:r>
              <w:t xml:space="preserve">6</w:t>
            </w:r>
          </w:p>
        </w:tc>
        <w:tc>
          <w:tcPr/>
          <w:p>
            <w:pPr>
              <w:pStyle w:val="Compact"/>
              <w:jc w:val="left"/>
            </w:pPr>
            <w:r>
              <w:t xml:space="preserve">App/dashboard onboarding email + support</w:t>
            </w:r>
          </w:p>
        </w:tc>
        <w:tc>
          <w:tcPr/>
          <w:p>
            <w:pPr>
              <w:pStyle w:val="Compact"/>
              <w:jc w:val="left"/>
            </w:pPr>
            <w:r>
              <w:t xml:space="preserve">15 min</w:t>
            </w:r>
          </w:p>
        </w:tc>
      </w:tr>
    </w:tbl>
    <w:p>
      <w:pPr>
        <w:pStyle w:val="BodyText"/>
      </w:pPr>
      <w:r>
        <w:rPr>
          <w:bCs/>
          <w:b/>
        </w:rPr>
        <w:t xml:space="preserve">Bottleneck:</w:t>
      </w:r>
      <w:r>
        <w:t xml:space="preserve"> </w:t>
      </w:r>
      <w:r>
        <w:t xml:space="preserve">the soak test.</w:t>
      </w:r>
      <w:r>
        <w:t xml:space="preserve"> </w:t>
      </w:r>
      <w:r>
        <w:rPr>
          <w:bCs/>
          <w:b/>
        </w:rPr>
        <w:t xml:space="preserve">Redesign:</w:t>
      </w:r>
      <w:r>
        <w:t xml:space="preserve"> </w:t>
      </w:r>
      <w:r>
        <w:t xml:space="preserve">a 20-slot charging-and-soak rack that tests a full batch overnight in parallel.</w:t>
      </w:r>
    </w:p>
    <w:bookmarkEnd w:id="64"/>
    <w:bookmarkStart w:id="65" w:name="Xeca955a966a4e07d6e9d24981ef2bd604a88abb"/>
    <w:p>
      <w:pPr>
        <w:pStyle w:val="Heading2"/>
      </w:pPr>
      <w:r>
        <w:t xml:space="preserve">3. SOP — TremoSense final calibration and test (new hire can follow)</w:t>
      </w:r>
    </w:p>
    <w:p>
      <w:pPr>
        <w:numPr>
          <w:ilvl w:val="0"/>
          <w:numId w:val="1003"/>
        </w:numPr>
        <w:pStyle w:val="Compact"/>
      </w:pPr>
      <w:r>
        <w:t xml:space="preserve">Scan the unit's serial QR code; the test script opens a log file named with the serial number.</w:t>
      </w:r>
    </w:p>
    <w:p>
      <w:pPr>
        <w:numPr>
          <w:ilvl w:val="0"/>
          <w:numId w:val="1003"/>
        </w:numPr>
        <w:pStyle w:val="Compact"/>
      </w:pPr>
      <w:r>
        <w:t xml:space="preserve">Charge to ≥80% (green LED). If not reached in 60 min, tag “battery” and set aside.</w:t>
      </w:r>
    </w:p>
    <w:p>
      <w:pPr>
        <w:numPr>
          <w:ilvl w:val="0"/>
          <w:numId w:val="1003"/>
        </w:numPr>
        <w:pStyle w:val="Compact"/>
      </w:pPr>
      <w:r>
        <w:t xml:space="preserve">Mount the handle in the simulator clamp, spoon head pointing up; tighten until the handle does not slip.</w:t>
      </w:r>
    </w:p>
    <w:p>
      <w:pPr>
        <w:numPr>
          <w:ilvl w:val="0"/>
          <w:numId w:val="1003"/>
        </w:numPr>
        <w:pStyle w:val="Compact"/>
      </w:pPr>
      <w:r>
        <w:t xml:space="preserve">Run</w:t>
      </w:r>
      <w:r>
        <w:t xml:space="preserve"> </w:t>
      </w:r>
      <w:r>
        <w:rPr>
          <w:iCs/>
          <w:i/>
        </w:rPr>
        <w:t xml:space="preserve">self-test</w:t>
      </w:r>
      <w:r>
        <w:t xml:space="preserve">: the servos sweep ±20°; check there is no grinding and both axes return to level.</w:t>
      </w:r>
    </w:p>
    <w:p>
      <w:pPr>
        <w:numPr>
          <w:ilvl w:val="0"/>
          <w:numId w:val="1003"/>
        </w:numPr>
        <w:pStyle w:val="Compact"/>
      </w:pPr>
      <w:r>
        <w:t xml:space="preserve">Run the simulator at 4, 6 and 8 Hz for 20 s each; the script computes tremor rejection from the handle and head IMUs.</w:t>
      </w:r>
    </w:p>
    <w:p>
      <w:pPr>
        <w:numPr>
          <w:ilvl w:val="0"/>
          <w:numId w:val="1003"/>
        </w:numPr>
        <w:pStyle w:val="Compact"/>
      </w:pPr>
      <w:r>
        <w:t xml:space="preserve">Pass if rejection ≥ the release threshold at every frequency (threshold set from the published bench logs); the script prints PASS/FAIL.</w:t>
      </w:r>
    </w:p>
    <w:p>
      <w:pPr>
        <w:numPr>
          <w:ilvl w:val="0"/>
          <w:numId w:val="1003"/>
        </w:numPr>
        <w:pStyle w:val="Compact"/>
      </w:pPr>
      <w:r>
        <w:t xml:space="preserve">On PASS, wipe the food-contact head with food-safe sanitiser, fit the cap and pack with the manual. On FAIL, tag the failure code and send to rework.</w:t>
      </w:r>
    </w:p>
    <w:p>
      <w:pPr>
        <w:numPr>
          <w:ilvl w:val="0"/>
          <w:numId w:val="1003"/>
        </w:numPr>
        <w:pStyle w:val="Compact"/>
      </w:pPr>
      <w:r>
        <w:t xml:space="preserve">Upload the log; the order is released for dispatch only when a PASS log exists.</w:t>
      </w:r>
    </w:p>
    <w:bookmarkEnd w:id="65"/>
    <w:bookmarkStart w:id="66" w:name="lean-wastes-and-how-we-remove-them"/>
    <w:p>
      <w:pPr>
        <w:pStyle w:val="Heading2"/>
      </w:pPr>
      <w:r>
        <w:t xml:space="preserve">4. Lean wastes and how we remove them</w:t>
      </w:r>
    </w:p>
    <w:tbl>
      <w:tblPr>
        <w:tblStyle w:val="Table"/>
        <w:tblW w:type="pct" w:w="5000"/>
        <w:tblLook w:firstRow="1" w:lastRow="0" w:firstColumn="0" w:lastColumn="0" w:noHBand="0" w:noVBand="0" w:val="0020"/>
        <w:jc w:val="start"/>
      </w:tblPr>
      <w:tblGrid>
        <w:gridCol w:w="1267"/>
        <w:gridCol w:w="3009"/>
        <w:gridCol w:w="3643"/>
      </w:tblGrid>
      <w:tr>
        <w:trPr>
          <w:tblHeader w:val="true"/>
        </w:trPr>
        <w:tc>
          <w:tcPr/>
          <w:p>
            <w:pPr>
              <w:pStyle w:val="Compact"/>
              <w:jc w:val="left"/>
            </w:pPr>
            <w:r>
              <w:t xml:space="preserve">Waste</w:t>
            </w:r>
          </w:p>
        </w:tc>
        <w:tc>
          <w:tcPr/>
          <w:p>
            <w:pPr>
              <w:pStyle w:val="Compact"/>
              <w:jc w:val="left"/>
            </w:pPr>
            <w:r>
              <w:t xml:space="preserve">Where it shows up</w:t>
            </w:r>
          </w:p>
        </w:tc>
        <w:tc>
          <w:tcPr/>
          <w:p>
            <w:pPr>
              <w:pStyle w:val="Compact"/>
              <w:jc w:val="left"/>
            </w:pPr>
            <w:r>
              <w:t xml:space="preserve">How we reduce it</w:t>
            </w:r>
          </w:p>
        </w:tc>
      </w:tr>
      <w:tr>
        <w:tc>
          <w:tcPr/>
          <w:p>
            <w:pPr>
              <w:pStyle w:val="Compact"/>
              <w:jc w:val="left"/>
            </w:pPr>
            <w:r>
              <w:t xml:space="preserve">Waiting</w:t>
            </w:r>
          </w:p>
        </w:tc>
        <w:tc>
          <w:tcPr/>
          <w:p>
            <w:pPr>
              <w:pStyle w:val="Compact"/>
              <w:jc w:val="left"/>
            </w:pPr>
            <w:r>
              <w:t xml:space="preserve">Assembled units wait for calibration</w:t>
            </w:r>
          </w:p>
        </w:tc>
        <w:tc>
          <w:tcPr/>
          <w:p>
            <w:pPr>
              <w:pStyle w:val="Compact"/>
              <w:jc w:val="left"/>
            </w:pPr>
            <w:r>
              <w:t xml:space="preserve">Batch self-test script (above); calibrate as units arrive, not at the end</w:t>
            </w:r>
          </w:p>
        </w:tc>
      </w:tr>
      <w:tr>
        <w:tc>
          <w:tcPr/>
          <w:p>
            <w:pPr>
              <w:pStyle w:val="Compact"/>
              <w:jc w:val="left"/>
            </w:pPr>
            <w:r>
              <w:t xml:space="preserve">Inventory</w:t>
            </w:r>
          </w:p>
        </w:tc>
        <w:tc>
          <w:tcPr/>
          <w:p>
            <w:pPr>
              <w:pStyle w:val="Compact"/>
              <w:jc w:val="left"/>
            </w:pPr>
            <w:r>
              <w:t xml:space="preserve">Pilot batch of 100 units bought before demand is proven</w:t>
            </w:r>
          </w:p>
        </w:tc>
        <w:tc>
          <w:tcPr/>
          <w:p>
            <w:pPr>
              <w:pStyle w:val="Compact"/>
              <w:jc w:val="left"/>
            </w:pPr>
            <w:r>
              <w:t xml:space="preserve">Buy servos and enclosures in 25-unit lots tied to clinic orders; keep only sub-assemblies</w:t>
            </w:r>
          </w:p>
        </w:tc>
      </w:tr>
      <w:tr>
        <w:tc>
          <w:tcPr/>
          <w:p>
            <w:pPr>
              <w:pStyle w:val="Compact"/>
              <w:jc w:val="left"/>
            </w:pPr>
            <w:r>
              <w:t xml:space="preserve">Defects</w:t>
            </w:r>
          </w:p>
        </w:tc>
        <w:tc>
          <w:tcPr/>
          <w:p>
            <w:pPr>
              <w:pStyle w:val="Compact"/>
              <w:jc w:val="left"/>
            </w:pPr>
            <w:r>
              <w:t xml:space="preserve">Servo or boost-converter failures found by the customer</w:t>
            </w:r>
          </w:p>
        </w:tc>
        <w:tc>
          <w:tcPr/>
          <w:p>
            <w:pPr>
              <w:pStyle w:val="Compact"/>
              <w:jc w:val="left"/>
            </w:pPr>
            <w:r>
              <w:t xml:space="preserve">100% end-of-line test with a stored PASS log; track failure codes to fix root causes</w:t>
            </w:r>
          </w:p>
        </w:tc>
      </w:tr>
    </w:tbl>
    <w:bookmarkEnd w:id="66"/>
    <w:bookmarkEnd w:id="67"/>
    <w:bookmarkStart w:id="73" w:name="M3.2"/>
    <w:p>
      <w:pPr>
        <w:pStyle w:val="BodyText"/>
      </w:pPr>
      <w:r>
        <w:t xml:space="preserve">M3 · Activity 2 · Mandatory Model M3.2</w:t>
      </w:r>
    </w:p>
    <w:bookmarkStart w:id="68" w:name="unit-economics-runway-model"/>
    <w:p>
      <w:pPr>
        <w:pStyle w:val="Heading1"/>
      </w:pPr>
      <w:r>
        <w:t xml:space="preserve">Unit-Economics &amp; Runway Model</w:t>
      </w:r>
    </w:p>
    <w:tbl>
      <w:tblPr>
        <w:tblStyle w:val="Table"/>
        <w:tblW w:type="auto" w:w="0"/>
        <w:tblLook w:firstRow="0" w:lastRow="0" w:firstColumn="0" w:lastColumn="0" w:noHBand="0" w:noVBand="0" w:val="0000"/>
        <w:jc w:val="start"/>
      </w:tblPr>
      <w:tblGrid>
        <w:gridCol w:w="1980"/>
        <w:gridCol w:w="1980"/>
        <w:gridCol w:w="1980"/>
        <w:gridCol w:w="1980"/>
      </w:tblGrid>
      <w:tr>
        <w:tc>
          <w:tcPr/>
          <w:p>
            <w:pPr>
              <w:pStyle w:val="Compact"/>
              <w:jc w:val="left"/>
            </w:pPr>
            <w:r>
              <w:rPr>
                <w:bCs/>
                <w:b/>
              </w:rPr>
              <w:t xml:space="preserve">Module</w:t>
            </w:r>
            <w:r>
              <w:t xml:space="preserve"> </w:t>
            </w:r>
            <w:r>
              <w:t xml:space="preserve">3</w:t>
            </w:r>
          </w:p>
        </w:tc>
        <w:tc>
          <w:tcPr/>
          <w:p>
            <w:pPr>
              <w:pStyle w:val="Compact"/>
              <w:jc w:val="left"/>
            </w:pPr>
            <w:r>
              <w:rPr>
                <w:bCs/>
                <w:b/>
              </w:rPr>
              <w:t xml:space="preserve">Activity</w:t>
            </w:r>
            <w:r>
              <w:t xml:space="preserve"> </w:t>
            </w:r>
            <w:r>
              <w:t xml:space="preserve">2</w:t>
            </w:r>
          </w:p>
        </w:tc>
        <w:tc>
          <w:tcPr/>
          <w:p>
            <w:pPr>
              <w:pStyle w:val="Compact"/>
              <w:jc w:val="left"/>
            </w:pPr>
            <w:r>
              <w:rPr>
                <w:bCs/>
                <w:b/>
              </w:rPr>
              <w:t xml:space="preserve">Date completed</w:t>
            </w:r>
            <w:r>
              <w:t xml:space="preserve"> </w:t>
            </w:r>
            <w:r>
              <w:t xml:space="preserve">26 Sep 2026</w:t>
            </w:r>
          </w:p>
        </w:tc>
        <w:tc>
          <w:tcPr/>
          <w:p>
            <w:pPr>
              <w:pStyle w:val="Compact"/>
              <w:jc w:val="left"/>
            </w:pPr>
            <w:r>
              <w:rPr>
                <w:bCs/>
                <w:b/>
              </w:rPr>
              <w:t xml:space="preserve">Venture</w:t>
            </w:r>
            <w:r>
              <w:t xml:space="preserve"> </w:t>
            </w:r>
            <w:r>
              <w:t xml:space="preserve">AVERRA</w:t>
            </w:r>
          </w:p>
        </w:tc>
      </w:tr>
      <w:tr>
        <w:tc>
          <w:tcPr>
            <w:gridSpan w:val="4"/>
          </w:tcPr>
          <w:p>
            <w:pPr>
              <w:pStyle w:val="Compact"/>
              <w:jc w:val="left"/>
            </w:pPr>
            <w:r>
              <w:rPr>
                <w:bCs/>
                <w:b/>
              </w:rPr>
              <w:t xml:space="preserve">Evidence status:</w:t>
            </w:r>
            <w:r>
              <w:t xml:space="preserve"> </w:t>
            </w:r>
            <w:r>
              <w:t xml:space="preserve">Completed · model forecast</w:t>
            </w:r>
          </w:p>
        </w:tc>
      </w:tr>
      <w:tr>
        <w:tc>
          <w:tcPr>
            <w:gridSpan w:val="4"/>
          </w:tcPr>
          <w:p>
            <w:pPr>
              <w:pStyle w:val="Compact"/>
              <w:jc w:val="left"/>
            </w:pPr>
            <w:r>
              <w:t xml:space="preserve">Data note: All figures are forecasts from the financial model; AVERRA has no actual revenue yet.</w:t>
            </w:r>
          </w:p>
        </w:tc>
      </w:tr>
    </w:tbl>
    <w:bookmarkEnd w:id="68"/>
    <w:p>
      <w:pPr>
        <w:pStyle w:val="BodyText"/>
      </w:pPr>
      <w:r>
        <w:t xml:space="preserve">Every number is a forecast from the financial model (Unit Economics and Forecast sheets). AVERRA has no actual revenue yet; nothing below is an actual financial result.</w:t>
      </w:r>
    </w:p>
    <w:bookmarkStart w:id="69" w:name="unit-economics"/>
    <w:p>
      <w:pPr>
        <w:pStyle w:val="Heading2"/>
      </w:pPr>
      <w:r>
        <w:t xml:space="preserve">1. Unit economics</w:t>
      </w:r>
    </w:p>
    <w:tbl>
      <w:tblPr>
        <w:tblStyle w:val="Table"/>
        <w:tblW w:type="pct" w:w="5000"/>
        <w:tblLook w:firstRow="1" w:lastRow="0" w:firstColumn="0" w:lastColumn="0" w:noHBand="0" w:noVBand="0" w:val="0020"/>
        <w:jc w:val="start"/>
      </w:tblPr>
      <w:tblGrid>
        <w:gridCol w:w="1425"/>
        <w:gridCol w:w="2376"/>
        <w:gridCol w:w="2059"/>
        <w:gridCol w:w="2059"/>
      </w:tblGrid>
      <w:tr>
        <w:trPr>
          <w:tblHeader w:val="true"/>
        </w:trPr>
        <w:tc>
          <w:tcPr/>
          <w:p>
            <w:pPr>
              <w:pStyle w:val="Compact"/>
              <w:jc w:val="left"/>
            </w:pPr>
            <w:r>
              <w:t xml:space="preserve">Metric</w:t>
            </w:r>
          </w:p>
        </w:tc>
        <w:tc>
          <w:tcPr/>
          <w:p>
            <w:pPr>
              <w:pStyle w:val="Compact"/>
              <w:jc w:val="left"/>
            </w:pPr>
            <w:r>
              <w:t xml:space="preserve">Formula</w:t>
            </w:r>
          </w:p>
        </w:tc>
        <w:tc>
          <w:tcPr/>
          <w:p>
            <w:pPr>
              <w:pStyle w:val="Compact"/>
              <w:jc w:val="left"/>
            </w:pPr>
            <w:r>
              <w:t xml:space="preserve">TremoSense</w:t>
            </w:r>
          </w:p>
        </w:tc>
        <w:tc>
          <w:tcPr/>
          <w:p>
            <w:pPr>
              <w:pStyle w:val="Compact"/>
              <w:jc w:val="left"/>
            </w:pPr>
            <w:r>
              <w:t xml:space="preserve">ParkinSense</w:t>
            </w:r>
          </w:p>
        </w:tc>
      </w:tr>
      <w:tr>
        <w:tc>
          <w:tcPr/>
          <w:p>
            <w:pPr>
              <w:pStyle w:val="Compact"/>
              <w:jc w:val="left"/>
            </w:pPr>
            <w:r>
              <w:t xml:space="preserve">CAC</w:t>
            </w:r>
          </w:p>
        </w:tc>
        <w:tc>
          <w:tcPr/>
          <w:p>
            <w:pPr>
              <w:pStyle w:val="Compact"/>
              <w:jc w:val="left"/>
            </w:pPr>
            <w:r>
              <w:t xml:space="preserve">planned acquisition spend ÷ customers acquired</w:t>
            </w:r>
          </w:p>
        </w:tc>
        <w:tc>
          <w:tcPr/>
          <w:p>
            <w:pPr>
              <w:pStyle w:val="Compact"/>
              <w:jc w:val="left"/>
            </w:pPr>
            <w:r>
              <w:t xml:space="preserve">₹1,079</w:t>
            </w:r>
          </w:p>
        </w:tc>
        <w:tc>
          <w:tcPr/>
          <w:p>
            <w:pPr>
              <w:pStyle w:val="Compact"/>
              <w:jc w:val="left"/>
            </w:pPr>
            <w:r>
              <w:t xml:space="preserve">₹1,500</w:t>
            </w:r>
          </w:p>
        </w:tc>
      </w:tr>
      <w:tr>
        <w:tc>
          <w:tcPr/>
          <w:p>
            <w:pPr>
              <w:pStyle w:val="Compact"/>
              <w:jc w:val="left"/>
            </w:pPr>
            <w:r>
              <w:t xml:space="preserve">Contribution per unit</w:t>
            </w:r>
          </w:p>
        </w:tc>
        <w:tc>
          <w:tcPr/>
          <w:p>
            <w:pPr>
              <w:pStyle w:val="Compact"/>
              <w:jc w:val="left"/>
            </w:pPr>
            <w:r>
              <w:t xml:space="preserve">price ex-GST − channel − COGS − warranty − shipping</w:t>
            </w:r>
          </w:p>
        </w:tc>
        <w:tc>
          <w:tcPr/>
          <w:p>
            <w:pPr>
              <w:pStyle w:val="Compact"/>
              <w:jc w:val="left"/>
            </w:pPr>
            <w:r>
              <w:t xml:space="preserve">₹2,538</w:t>
            </w:r>
          </w:p>
        </w:tc>
        <w:tc>
          <w:tcPr/>
          <w:p>
            <w:pPr>
              <w:pStyle w:val="Compact"/>
              <w:jc w:val="left"/>
            </w:pPr>
            <w:r>
              <w:t xml:space="preserve">₹1,982</w:t>
            </w:r>
          </w:p>
        </w:tc>
      </w:tr>
      <w:tr>
        <w:tc>
          <w:tcPr/>
          <w:p>
            <w:pPr>
              <w:pStyle w:val="Compact"/>
              <w:jc w:val="left"/>
            </w:pPr>
            <w:r>
              <w:t xml:space="preserve">LTV</w:t>
            </w:r>
          </w:p>
        </w:tc>
        <w:tc>
          <w:tcPr/>
          <w:p>
            <w:pPr>
              <w:pStyle w:val="Compact"/>
              <w:jc w:val="left"/>
            </w:pPr>
            <w:r>
              <w:t xml:space="preserve">lifetime contribution per customer</w:t>
            </w:r>
          </w:p>
        </w:tc>
        <w:tc>
          <w:tcPr/>
          <w:p>
            <w:pPr>
              <w:pStyle w:val="Compact"/>
              <w:jc w:val="left"/>
            </w:pPr>
            <w:r>
              <w:t xml:space="preserve">₹2,538 × 1.4 purchases (40% repurchase) = ₹3,553</w:t>
            </w:r>
          </w:p>
        </w:tc>
        <w:tc>
          <w:tcPr/>
          <w:p>
            <w:pPr>
              <w:pStyle w:val="Compact"/>
              <w:jc w:val="left"/>
            </w:pPr>
            <w:r>
              <w:t xml:space="preserve">₹1,982 + 40% × ₹129/mo × 20 mo = ₹3,011</w:t>
            </w:r>
          </w:p>
        </w:tc>
      </w:tr>
      <w:tr>
        <w:tc>
          <w:tcPr/>
          <w:p>
            <w:pPr>
              <w:pStyle w:val="Compact"/>
              <w:jc w:val="left"/>
            </w:pPr>
            <w:r>
              <w:t xml:space="preserve">LTV : CAC</w:t>
            </w:r>
          </w:p>
        </w:tc>
        <w:tc>
          <w:tcPr/>
          <w:p>
            <w:pPr>
              <w:pStyle w:val="Compact"/>
              <w:jc w:val="left"/>
            </w:pPr>
            <w:r>
              <w:t xml:space="preserve">LTV ÷ CAC</w:t>
            </w:r>
          </w:p>
        </w:tc>
        <w:tc>
          <w:tcPr/>
          <w:p>
            <w:pPr>
              <w:pStyle w:val="Compact"/>
              <w:jc w:val="left"/>
            </w:pPr>
            <w:r>
              <w:t xml:space="preserve">3.29×</w:t>
            </w:r>
          </w:p>
        </w:tc>
        <w:tc>
          <w:tcPr/>
          <w:p>
            <w:pPr>
              <w:pStyle w:val="Compact"/>
              <w:jc w:val="left"/>
            </w:pPr>
            <w:r>
              <w:t xml:space="preserve">2.01×</w:t>
            </w:r>
          </w:p>
        </w:tc>
      </w:tr>
      <w:tr>
        <w:tc>
          <w:tcPr/>
          <w:p>
            <w:pPr>
              <w:pStyle w:val="Compact"/>
              <w:jc w:val="left"/>
            </w:pPr>
            <w:r>
              <w:t xml:space="preserve">CAC payback</w:t>
            </w:r>
          </w:p>
        </w:tc>
        <w:tc>
          <w:tcPr/>
          <w:p>
            <w:pPr>
              <w:pStyle w:val="Compact"/>
              <w:jc w:val="left"/>
            </w:pPr>
            <w:r>
              <w:t xml:space="preserve">CAC ÷ contribution per sale</w:t>
            </w:r>
          </w:p>
        </w:tc>
        <w:tc>
          <w:tcPr/>
          <w:p>
            <w:pPr>
              <w:pStyle w:val="Compact"/>
              <w:jc w:val="left"/>
            </w:pPr>
            <w:r>
              <w:t xml:space="preserve">0.43 of the first sale → paid back on the first sale</w:t>
            </w:r>
          </w:p>
        </w:tc>
        <w:tc>
          <w:tcPr/>
          <w:p>
            <w:pPr>
              <w:pStyle w:val="Compact"/>
              <w:jc w:val="left"/>
            </w:pPr>
            <w:r>
              <w:t xml:space="preserve">0.76 of the first sale → first sale</w:t>
            </w:r>
          </w:p>
        </w:tc>
      </w:tr>
    </w:tbl>
    <w:bookmarkEnd w:id="69"/>
    <w:bookmarkStart w:id="70" w:name="Xae56f2b59ef60983240481c4cc46bd5b52d990a"/>
    <w:p>
      <w:pPr>
        <w:pStyle w:val="Heading2"/>
      </w:pPr>
      <w:r>
        <w:t xml:space="preserve">2. 12-month cash forecast (Jul 2027 – Jun 2028), funded by the ₹10.51 L round only</w:t>
      </w:r>
    </w:p>
    <w:tbl>
      <w:tblPr>
        <w:tblStyle w:val="Table"/>
        <w:tblW w:type="pct" w:w="5000"/>
        <w:tblLook w:firstRow="1" w:lastRow="0" w:firstColumn="0" w:lastColumn="0" w:noHBand="0" w:noVBand="0" w:val="0020"/>
        <w:jc w:val="start"/>
      </w:tblPr>
      <w:tblGrid>
        <w:gridCol w:w="1267"/>
        <w:gridCol w:w="1267"/>
        <w:gridCol w:w="1108"/>
        <w:gridCol w:w="1425"/>
        <w:gridCol w:w="1425"/>
        <w:gridCol w:w="1425"/>
      </w:tblGrid>
      <w:tr>
        <w:trPr>
          <w:tblHeader w:val="true"/>
        </w:trPr>
        <w:tc>
          <w:tcPr/>
          <w:p>
            <w:pPr>
              <w:pStyle w:val="Compact"/>
              <w:jc w:val="left"/>
            </w:pPr>
            <w:r>
              <w:t xml:space="preserve">Month</w:t>
            </w:r>
          </w:p>
        </w:tc>
        <w:tc>
          <w:tcPr/>
          <w:p>
            <w:pPr>
              <w:pStyle w:val="Compact"/>
              <w:jc w:val="left"/>
            </w:pPr>
            <w:r>
              <w:t xml:space="preserve">Cash out</w:t>
            </w:r>
          </w:p>
        </w:tc>
        <w:tc>
          <w:tcPr/>
          <w:p>
            <w:pPr>
              <w:pStyle w:val="Compact"/>
              <w:jc w:val="left"/>
            </w:pPr>
            <w:r>
              <w:t xml:space="preserve">Cash in</w:t>
            </w:r>
          </w:p>
        </w:tc>
        <w:tc>
          <w:tcPr/>
          <w:p>
            <w:pPr>
              <w:pStyle w:val="Compact"/>
              <w:jc w:val="left"/>
            </w:pPr>
            <w:r>
              <w:t xml:space="preserve">Net cash flow</w:t>
            </w:r>
          </w:p>
        </w:tc>
        <w:tc>
          <w:tcPr/>
          <w:p>
            <w:pPr>
              <w:pStyle w:val="Compact"/>
              <w:jc w:val="left"/>
            </w:pPr>
            <w:r>
              <w:t xml:space="preserve">Cumulative</w:t>
            </w:r>
          </w:p>
        </w:tc>
        <w:tc>
          <w:tcPr/>
          <w:p>
            <w:pPr>
              <w:pStyle w:val="Compact"/>
              <w:jc w:val="left"/>
            </w:pPr>
            <w:r>
              <w:t xml:space="preserve">Closing cash</w:t>
            </w:r>
          </w:p>
        </w:tc>
      </w:tr>
      <w:tr>
        <w:tc>
          <w:tcPr/>
          <w:p>
            <w:pPr>
              <w:pStyle w:val="Compact"/>
              <w:jc w:val="left"/>
            </w:pPr>
            <w:r>
              <w:t xml:space="preserve">M1 · Jul-27</w:t>
            </w:r>
          </w:p>
        </w:tc>
        <w:tc>
          <w:tcPr/>
          <w:p>
            <w:pPr>
              <w:pStyle w:val="Compact"/>
              <w:jc w:val="left"/>
            </w:pPr>
            <w:r>
              <w:t xml:space="preserve">₹1,46,300</w:t>
            </w:r>
          </w:p>
        </w:tc>
        <w:tc>
          <w:tcPr/>
          <w:p>
            <w:pPr>
              <w:pStyle w:val="Compact"/>
              <w:jc w:val="left"/>
            </w:pPr>
            <w:r>
              <w:t xml:space="preserve">₹0</w:t>
            </w:r>
          </w:p>
        </w:tc>
        <w:tc>
          <w:tcPr/>
          <w:p>
            <w:pPr>
              <w:pStyle w:val="Compact"/>
              <w:jc w:val="left"/>
            </w:pPr>
            <w:r>
              <w:t xml:space="preserve">-₹1,46,300</w:t>
            </w:r>
          </w:p>
        </w:tc>
        <w:tc>
          <w:tcPr/>
          <w:p>
            <w:pPr>
              <w:pStyle w:val="Compact"/>
              <w:jc w:val="left"/>
            </w:pPr>
            <w:r>
              <w:t xml:space="preserve">-₹1,46,300</w:t>
            </w:r>
          </w:p>
        </w:tc>
        <w:tc>
          <w:tcPr/>
          <w:p>
            <w:pPr>
              <w:pStyle w:val="Compact"/>
              <w:jc w:val="left"/>
            </w:pPr>
            <w:r>
              <w:t xml:space="preserve">₹9,04,871</w:t>
            </w:r>
          </w:p>
        </w:tc>
      </w:tr>
      <w:tr>
        <w:tc>
          <w:tcPr/>
          <w:p>
            <w:pPr>
              <w:pStyle w:val="Compact"/>
              <w:jc w:val="left"/>
            </w:pPr>
            <w:r>
              <w:t xml:space="preserve">M2 · Aug-27</w:t>
            </w:r>
          </w:p>
        </w:tc>
        <w:tc>
          <w:tcPr/>
          <w:p>
            <w:pPr>
              <w:pStyle w:val="Compact"/>
              <w:jc w:val="left"/>
            </w:pPr>
            <w:r>
              <w:t xml:space="preserve">₹1,92,500</w:t>
            </w:r>
          </w:p>
        </w:tc>
        <w:tc>
          <w:tcPr/>
          <w:p>
            <w:pPr>
              <w:pStyle w:val="Compact"/>
              <w:jc w:val="left"/>
            </w:pPr>
            <w:r>
              <w:t xml:space="preserve">₹0</w:t>
            </w:r>
          </w:p>
        </w:tc>
        <w:tc>
          <w:tcPr/>
          <w:p>
            <w:pPr>
              <w:pStyle w:val="Compact"/>
              <w:jc w:val="left"/>
            </w:pPr>
            <w:r>
              <w:t xml:space="preserve">-₹1,92,500</w:t>
            </w:r>
          </w:p>
        </w:tc>
        <w:tc>
          <w:tcPr/>
          <w:p>
            <w:pPr>
              <w:pStyle w:val="Compact"/>
              <w:jc w:val="left"/>
            </w:pPr>
            <w:r>
              <w:t xml:space="preserve">-₹3,38,800</w:t>
            </w:r>
          </w:p>
        </w:tc>
        <w:tc>
          <w:tcPr/>
          <w:p>
            <w:pPr>
              <w:pStyle w:val="Compact"/>
              <w:jc w:val="left"/>
            </w:pPr>
            <w:r>
              <w:t xml:space="preserve">₹7,12,371</w:t>
            </w:r>
          </w:p>
        </w:tc>
      </w:tr>
      <w:tr>
        <w:tc>
          <w:tcPr/>
          <w:p>
            <w:pPr>
              <w:pStyle w:val="Compact"/>
              <w:jc w:val="left"/>
            </w:pPr>
            <w:r>
              <w:t xml:space="preserve">M3 · Sep-27</w:t>
            </w:r>
          </w:p>
        </w:tc>
        <w:tc>
          <w:tcPr/>
          <w:p>
            <w:pPr>
              <w:pStyle w:val="Compact"/>
              <w:jc w:val="left"/>
            </w:pPr>
            <w:r>
              <w:t xml:space="preserve">₹1,46,676</w:t>
            </w:r>
          </w:p>
        </w:tc>
        <w:tc>
          <w:tcPr/>
          <w:p>
            <w:pPr>
              <w:pStyle w:val="Compact"/>
              <w:jc w:val="left"/>
            </w:pPr>
            <w:r>
              <w:t xml:space="preserve">₹0</w:t>
            </w:r>
          </w:p>
        </w:tc>
        <w:tc>
          <w:tcPr/>
          <w:p>
            <w:pPr>
              <w:pStyle w:val="Compact"/>
              <w:jc w:val="left"/>
            </w:pPr>
            <w:r>
              <w:t xml:space="preserve">-₹1,46,676</w:t>
            </w:r>
          </w:p>
        </w:tc>
        <w:tc>
          <w:tcPr/>
          <w:p>
            <w:pPr>
              <w:pStyle w:val="Compact"/>
              <w:jc w:val="left"/>
            </w:pPr>
            <w:r>
              <w:t xml:space="preserve">-₹4,85,476</w:t>
            </w:r>
          </w:p>
        </w:tc>
        <w:tc>
          <w:tcPr/>
          <w:p>
            <w:pPr>
              <w:pStyle w:val="Compact"/>
              <w:jc w:val="left"/>
            </w:pPr>
            <w:r>
              <w:t xml:space="preserve">₹5,65,695</w:t>
            </w:r>
          </w:p>
        </w:tc>
      </w:tr>
      <w:tr>
        <w:tc>
          <w:tcPr/>
          <w:p>
            <w:pPr>
              <w:pStyle w:val="Compact"/>
              <w:jc w:val="left"/>
            </w:pPr>
            <w:r>
              <w:t xml:space="preserve">M4 · Oct-27</w:t>
            </w:r>
          </w:p>
        </w:tc>
        <w:tc>
          <w:tcPr/>
          <w:p>
            <w:pPr>
              <w:pStyle w:val="Compact"/>
              <w:jc w:val="left"/>
            </w:pPr>
            <w:r>
              <w:t xml:space="preserve">₹1,59,500</w:t>
            </w:r>
          </w:p>
        </w:tc>
        <w:tc>
          <w:tcPr/>
          <w:p>
            <w:pPr>
              <w:pStyle w:val="Compact"/>
              <w:jc w:val="left"/>
            </w:pPr>
            <w:r>
              <w:t xml:space="preserve">₹0</w:t>
            </w:r>
          </w:p>
        </w:tc>
        <w:tc>
          <w:tcPr/>
          <w:p>
            <w:pPr>
              <w:pStyle w:val="Compact"/>
              <w:jc w:val="left"/>
            </w:pPr>
            <w:r>
              <w:t xml:space="preserve">-₹1,59,500</w:t>
            </w:r>
          </w:p>
        </w:tc>
        <w:tc>
          <w:tcPr/>
          <w:p>
            <w:pPr>
              <w:pStyle w:val="Compact"/>
              <w:jc w:val="left"/>
            </w:pPr>
            <w:r>
              <w:t xml:space="preserve">-₹6,44,976</w:t>
            </w:r>
          </w:p>
        </w:tc>
        <w:tc>
          <w:tcPr/>
          <w:p>
            <w:pPr>
              <w:pStyle w:val="Compact"/>
              <w:jc w:val="left"/>
            </w:pPr>
            <w:r>
              <w:t xml:space="preserve">₹4,06,195</w:t>
            </w:r>
          </w:p>
        </w:tc>
      </w:tr>
      <w:tr>
        <w:tc>
          <w:tcPr/>
          <w:p>
            <w:pPr>
              <w:pStyle w:val="Compact"/>
              <w:jc w:val="left"/>
            </w:pPr>
            <w:r>
              <w:t xml:space="preserve">M5 · Nov-27</w:t>
            </w:r>
          </w:p>
        </w:tc>
        <w:tc>
          <w:tcPr/>
          <w:p>
            <w:pPr>
              <w:pStyle w:val="Compact"/>
              <w:jc w:val="left"/>
            </w:pPr>
            <w:r>
              <w:t xml:space="preserve">₹1,15,500</w:t>
            </w:r>
          </w:p>
        </w:tc>
        <w:tc>
          <w:tcPr/>
          <w:p>
            <w:pPr>
              <w:pStyle w:val="Compact"/>
              <w:jc w:val="left"/>
            </w:pPr>
            <w:r>
              <w:t xml:space="preserve">₹0</w:t>
            </w:r>
          </w:p>
        </w:tc>
        <w:tc>
          <w:tcPr/>
          <w:p>
            <w:pPr>
              <w:pStyle w:val="Compact"/>
              <w:jc w:val="left"/>
            </w:pPr>
            <w:r>
              <w:t xml:space="preserve">-₹1,15,500</w:t>
            </w:r>
          </w:p>
        </w:tc>
        <w:tc>
          <w:tcPr/>
          <w:p>
            <w:pPr>
              <w:pStyle w:val="Compact"/>
              <w:jc w:val="left"/>
            </w:pPr>
            <w:r>
              <w:t xml:space="preserve">-₹7,60,476</w:t>
            </w:r>
          </w:p>
        </w:tc>
        <w:tc>
          <w:tcPr/>
          <w:p>
            <w:pPr>
              <w:pStyle w:val="Compact"/>
              <w:jc w:val="left"/>
            </w:pPr>
            <w:r>
              <w:t xml:space="preserve">₹2,90,695</w:t>
            </w:r>
          </w:p>
        </w:tc>
      </w:tr>
      <w:tr>
        <w:tc>
          <w:tcPr/>
          <w:p>
            <w:pPr>
              <w:pStyle w:val="Compact"/>
              <w:jc w:val="left"/>
            </w:pPr>
            <w:r>
              <w:t xml:space="preserve">M6 · Dec-27</w:t>
            </w:r>
          </w:p>
        </w:tc>
        <w:tc>
          <w:tcPr/>
          <w:p>
            <w:pPr>
              <w:pStyle w:val="Compact"/>
              <w:jc w:val="left"/>
            </w:pPr>
            <w:r>
              <w:t xml:space="preserve">₹1,15,500</w:t>
            </w:r>
          </w:p>
        </w:tc>
        <w:tc>
          <w:tcPr/>
          <w:p>
            <w:pPr>
              <w:pStyle w:val="Compact"/>
              <w:jc w:val="left"/>
            </w:pPr>
            <w:r>
              <w:t xml:space="preserve">₹0</w:t>
            </w:r>
          </w:p>
        </w:tc>
        <w:tc>
          <w:tcPr/>
          <w:p>
            <w:pPr>
              <w:pStyle w:val="Compact"/>
              <w:jc w:val="left"/>
            </w:pPr>
            <w:r>
              <w:t xml:space="preserve">-₹1,15,500</w:t>
            </w:r>
          </w:p>
        </w:tc>
        <w:tc>
          <w:tcPr/>
          <w:p>
            <w:pPr>
              <w:pStyle w:val="Compact"/>
              <w:jc w:val="left"/>
            </w:pPr>
            <w:r>
              <w:t xml:space="preserve">-₹8,75,976</w:t>
            </w:r>
          </w:p>
        </w:tc>
        <w:tc>
          <w:tcPr/>
          <w:p>
            <w:pPr>
              <w:pStyle w:val="Compact"/>
              <w:jc w:val="left"/>
            </w:pPr>
            <w:r>
              <w:t xml:space="preserve">₹1,75,195</w:t>
            </w:r>
          </w:p>
        </w:tc>
      </w:tr>
      <w:tr>
        <w:tc>
          <w:tcPr/>
          <w:p>
            <w:pPr>
              <w:pStyle w:val="Compact"/>
              <w:jc w:val="left"/>
            </w:pPr>
            <w:r>
              <w:t xml:space="preserve">M7 · Jan-28</w:t>
            </w:r>
          </w:p>
        </w:tc>
        <w:tc>
          <w:tcPr/>
          <w:p>
            <w:pPr>
              <w:pStyle w:val="Compact"/>
              <w:jc w:val="left"/>
            </w:pPr>
            <w:r>
              <w:t xml:space="preserve">₹2,80,500</w:t>
            </w:r>
          </w:p>
        </w:tc>
        <w:tc>
          <w:tcPr/>
          <w:p>
            <w:pPr>
              <w:pStyle w:val="Compact"/>
              <w:jc w:val="left"/>
            </w:pPr>
            <w:r>
              <w:t xml:space="preserve">₹0</w:t>
            </w:r>
          </w:p>
        </w:tc>
        <w:tc>
          <w:tcPr/>
          <w:p>
            <w:pPr>
              <w:pStyle w:val="Compact"/>
              <w:jc w:val="left"/>
            </w:pPr>
            <w:r>
              <w:t xml:space="preserve">-₹2,80,500</w:t>
            </w:r>
          </w:p>
        </w:tc>
        <w:tc>
          <w:tcPr/>
          <w:p>
            <w:pPr>
              <w:pStyle w:val="Compact"/>
              <w:jc w:val="left"/>
            </w:pPr>
            <w:r>
              <w:t xml:space="preserve">-₹11,56,476</w:t>
            </w:r>
          </w:p>
        </w:tc>
        <w:tc>
          <w:tcPr/>
          <w:p>
            <w:pPr>
              <w:pStyle w:val="Compact"/>
              <w:jc w:val="left"/>
            </w:pPr>
            <w:r>
              <w:t xml:space="preserve">-₹1,05,305</w:t>
            </w:r>
          </w:p>
        </w:tc>
      </w:tr>
      <w:tr>
        <w:tc>
          <w:tcPr/>
          <w:p>
            <w:pPr>
              <w:pStyle w:val="Compact"/>
              <w:jc w:val="left"/>
            </w:pPr>
            <w:r>
              <w:t xml:space="preserve">M8 · Feb-28</w:t>
            </w:r>
          </w:p>
        </w:tc>
        <w:tc>
          <w:tcPr/>
          <w:p>
            <w:pPr>
              <w:pStyle w:val="Compact"/>
              <w:jc w:val="left"/>
            </w:pPr>
            <w:r>
              <w:t xml:space="preserve">₹1,87,000</w:t>
            </w:r>
          </w:p>
        </w:tc>
        <w:tc>
          <w:tcPr/>
          <w:p>
            <w:pPr>
              <w:pStyle w:val="Compact"/>
              <w:jc w:val="left"/>
            </w:pPr>
            <w:r>
              <w:t xml:space="preserve">₹0</w:t>
            </w:r>
          </w:p>
        </w:tc>
        <w:tc>
          <w:tcPr/>
          <w:p>
            <w:pPr>
              <w:pStyle w:val="Compact"/>
              <w:jc w:val="left"/>
            </w:pPr>
            <w:r>
              <w:t xml:space="preserve">-₹1,87,000</w:t>
            </w:r>
          </w:p>
        </w:tc>
        <w:tc>
          <w:tcPr/>
          <w:p>
            <w:pPr>
              <w:pStyle w:val="Compact"/>
              <w:jc w:val="left"/>
            </w:pPr>
            <w:r>
              <w:t xml:space="preserve">-₹13,43,476</w:t>
            </w:r>
          </w:p>
        </w:tc>
        <w:tc>
          <w:tcPr/>
          <w:p>
            <w:pPr>
              <w:pStyle w:val="Compact"/>
              <w:jc w:val="left"/>
            </w:pPr>
            <w:r>
              <w:t xml:space="preserve">-₹2,92,305</w:t>
            </w:r>
          </w:p>
        </w:tc>
      </w:tr>
      <w:tr>
        <w:tc>
          <w:tcPr/>
          <w:p>
            <w:pPr>
              <w:pStyle w:val="Compact"/>
              <w:jc w:val="left"/>
            </w:pPr>
            <w:r>
              <w:t xml:space="preserve">M9 · Mar-28</w:t>
            </w:r>
          </w:p>
        </w:tc>
        <w:tc>
          <w:tcPr/>
          <w:p>
            <w:pPr>
              <w:pStyle w:val="Compact"/>
              <w:jc w:val="left"/>
            </w:pPr>
            <w:r>
              <w:t xml:space="preserve">₹4,23,500</w:t>
            </w:r>
          </w:p>
        </w:tc>
        <w:tc>
          <w:tcPr/>
          <w:p>
            <w:pPr>
              <w:pStyle w:val="Compact"/>
              <w:jc w:val="left"/>
            </w:pPr>
            <w:r>
              <w:t xml:space="preserve">₹0</w:t>
            </w:r>
          </w:p>
        </w:tc>
        <w:tc>
          <w:tcPr/>
          <w:p>
            <w:pPr>
              <w:pStyle w:val="Compact"/>
              <w:jc w:val="left"/>
            </w:pPr>
            <w:r>
              <w:t xml:space="preserve">-₹4,23,500</w:t>
            </w:r>
          </w:p>
        </w:tc>
        <w:tc>
          <w:tcPr/>
          <w:p>
            <w:pPr>
              <w:pStyle w:val="Compact"/>
              <w:jc w:val="left"/>
            </w:pPr>
            <w:r>
              <w:t xml:space="preserve">-₹17,66,976</w:t>
            </w:r>
          </w:p>
        </w:tc>
        <w:tc>
          <w:tcPr/>
          <w:p>
            <w:pPr>
              <w:pStyle w:val="Compact"/>
              <w:jc w:val="left"/>
            </w:pPr>
            <w:r>
              <w:t xml:space="preserve">-₹7,15,805</w:t>
            </w:r>
          </w:p>
        </w:tc>
      </w:tr>
      <w:tr>
        <w:tc>
          <w:tcPr/>
          <w:p>
            <w:pPr>
              <w:pStyle w:val="Compact"/>
              <w:jc w:val="left"/>
            </w:pPr>
            <w:r>
              <w:t xml:space="preserve">M10 · Apr-28</w:t>
            </w:r>
          </w:p>
        </w:tc>
        <w:tc>
          <w:tcPr/>
          <w:p>
            <w:pPr>
              <w:pStyle w:val="Compact"/>
              <w:jc w:val="left"/>
            </w:pPr>
            <w:r>
              <w:t xml:space="preserve">₹4,42,915</w:t>
            </w:r>
          </w:p>
        </w:tc>
        <w:tc>
          <w:tcPr/>
          <w:p>
            <w:pPr>
              <w:pStyle w:val="Compact"/>
              <w:jc w:val="left"/>
            </w:pPr>
            <w:r>
              <w:t xml:space="preserve">₹58,308</w:t>
            </w:r>
          </w:p>
        </w:tc>
        <w:tc>
          <w:tcPr/>
          <w:p>
            <w:pPr>
              <w:pStyle w:val="Compact"/>
              <w:jc w:val="left"/>
            </w:pPr>
            <w:r>
              <w:t xml:space="preserve">-₹3,84,607</w:t>
            </w:r>
          </w:p>
        </w:tc>
        <w:tc>
          <w:tcPr/>
          <w:p>
            <w:pPr>
              <w:pStyle w:val="Compact"/>
              <w:jc w:val="left"/>
            </w:pPr>
            <w:r>
              <w:t xml:space="preserve">-₹21,51,582</w:t>
            </w:r>
          </w:p>
        </w:tc>
        <w:tc>
          <w:tcPr/>
          <w:p>
            <w:pPr>
              <w:pStyle w:val="Compact"/>
              <w:jc w:val="left"/>
            </w:pPr>
            <w:r>
              <w:t xml:space="preserve">-₹11,00,411</w:t>
            </w:r>
          </w:p>
        </w:tc>
      </w:tr>
      <w:tr>
        <w:tc>
          <w:tcPr/>
          <w:p>
            <w:pPr>
              <w:pStyle w:val="Compact"/>
              <w:jc w:val="left"/>
            </w:pPr>
            <w:r>
              <w:t xml:space="preserve">M11 · May-28</w:t>
            </w:r>
          </w:p>
        </w:tc>
        <w:tc>
          <w:tcPr/>
          <w:p>
            <w:pPr>
              <w:pStyle w:val="Compact"/>
              <w:jc w:val="left"/>
            </w:pPr>
            <w:r>
              <w:t xml:space="preserve">₹6,68,841</w:t>
            </w:r>
          </w:p>
        </w:tc>
        <w:tc>
          <w:tcPr/>
          <w:p>
            <w:pPr>
              <w:pStyle w:val="Compact"/>
              <w:jc w:val="left"/>
            </w:pPr>
            <w:r>
              <w:t xml:space="preserve">₹0</w:t>
            </w:r>
          </w:p>
        </w:tc>
        <w:tc>
          <w:tcPr/>
          <w:p>
            <w:pPr>
              <w:pStyle w:val="Compact"/>
              <w:jc w:val="left"/>
            </w:pPr>
            <w:r>
              <w:t xml:space="preserve">-₹6,68,841</w:t>
            </w:r>
          </w:p>
        </w:tc>
        <w:tc>
          <w:tcPr/>
          <w:p>
            <w:pPr>
              <w:pStyle w:val="Compact"/>
              <w:jc w:val="left"/>
            </w:pPr>
            <w:r>
              <w:t xml:space="preserve">-₹28,20,423</w:t>
            </w:r>
          </w:p>
        </w:tc>
        <w:tc>
          <w:tcPr/>
          <w:p>
            <w:pPr>
              <w:pStyle w:val="Compact"/>
              <w:jc w:val="left"/>
            </w:pPr>
            <w:r>
              <w:t xml:space="preserve">-₹17,69,252</w:t>
            </w:r>
          </w:p>
        </w:tc>
      </w:tr>
      <w:tr>
        <w:tc>
          <w:tcPr/>
          <w:p>
            <w:pPr>
              <w:pStyle w:val="Compact"/>
              <w:jc w:val="left"/>
            </w:pPr>
            <w:r>
              <w:t xml:space="preserve">M12 · Jun-28</w:t>
            </w:r>
          </w:p>
        </w:tc>
        <w:tc>
          <w:tcPr/>
          <w:p>
            <w:pPr>
              <w:pStyle w:val="Compact"/>
              <w:jc w:val="left"/>
            </w:pPr>
            <w:r>
              <w:t xml:space="preserve">₹2,77,915</w:t>
            </w:r>
          </w:p>
        </w:tc>
        <w:tc>
          <w:tcPr/>
          <w:p>
            <w:pPr>
              <w:pStyle w:val="Compact"/>
              <w:jc w:val="left"/>
            </w:pPr>
            <w:r>
              <w:t xml:space="preserve">₹1,68,833</w:t>
            </w:r>
          </w:p>
        </w:tc>
        <w:tc>
          <w:tcPr/>
          <w:p>
            <w:pPr>
              <w:pStyle w:val="Compact"/>
              <w:jc w:val="left"/>
            </w:pPr>
            <w:r>
              <w:t xml:space="preserve">-₹1,09,082</w:t>
            </w:r>
          </w:p>
        </w:tc>
        <w:tc>
          <w:tcPr/>
          <w:p>
            <w:pPr>
              <w:pStyle w:val="Compact"/>
              <w:jc w:val="left"/>
            </w:pPr>
            <w:r>
              <w:t xml:space="preserve">-₹29,29,505</w:t>
            </w:r>
          </w:p>
        </w:tc>
        <w:tc>
          <w:tcPr/>
          <w:p>
            <w:pPr>
              <w:pStyle w:val="Compact"/>
              <w:jc w:val="left"/>
            </w:pPr>
            <w:r>
              <w:t xml:space="preserve">-₹18,78,334</w:t>
            </w:r>
          </w:p>
        </w:tc>
      </w:tr>
    </w:tbl>
    <w:p>
      <w:pPr>
        <w:pStyle w:val="BodyText"/>
      </w:pPr>
      <w:r>
        <w:t xml:space="preserve">Closing cash = ₹10.51 L raised − cumulative net outflow (Funding Scenarios sheet, Scenario C: Round 1 only, no grant). Negative closing cash means tranche 2 must already have closed.</w:t>
      </w:r>
    </w:p>
    <w:bookmarkEnd w:id="70"/>
    <w:bookmarkStart w:id="71" w:name="burn-runway-and-zero-cash-date"/>
    <w:p>
      <w:pPr>
        <w:pStyle w:val="Heading2"/>
      </w:pPr>
      <w:r>
        <w:t xml:space="preserve">3. Burn, runway and zero-cash date</w:t>
      </w:r>
    </w:p>
    <w:p>
      <w:pPr>
        <w:numPr>
          <w:ilvl w:val="0"/>
          <w:numId w:val="1004"/>
        </w:numPr>
        <w:pStyle w:val="Compact"/>
      </w:pPr>
      <w:r>
        <w:t xml:space="preserve">Phase-1 burn (M1–M6) = ₹8,75,976 ÷ 6 =</w:t>
      </w:r>
      <w:r>
        <w:t xml:space="preserve"> </w:t>
      </w:r>
      <w:r>
        <w:rPr>
          <w:bCs/>
          <w:b/>
        </w:rPr>
        <w:t xml:space="preserve">₹1,45,996/month</w:t>
      </w:r>
      <w:r>
        <w:t xml:space="preserve"> </w:t>
      </w:r>
      <w:r>
        <w:t xml:space="preserve">(no cash in).</w:t>
      </w:r>
    </w:p>
    <w:p>
      <w:pPr>
        <w:numPr>
          <w:ilvl w:val="0"/>
          <w:numId w:val="1004"/>
        </w:numPr>
        <w:pStyle w:val="Compact"/>
      </w:pPr>
      <w:r>
        <w:t xml:space="preserve">Year-1 gross burn = ₹31,56,646 ÷ 12 =</w:t>
      </w:r>
      <w:r>
        <w:t xml:space="preserve"> </w:t>
      </w:r>
      <w:r>
        <w:rPr>
          <w:bCs/>
          <w:b/>
        </w:rPr>
        <w:t xml:space="preserve">₹2,63,054/month</w:t>
      </w:r>
      <w:r>
        <w:t xml:space="preserve">; net burn after ₹2,27,141 cash in =</w:t>
      </w:r>
      <w:r>
        <w:t xml:space="preserve"> </w:t>
      </w:r>
      <w:r>
        <w:rPr>
          <w:bCs/>
          <w:b/>
        </w:rPr>
        <w:t xml:space="preserve">₹2,44,125/month</w:t>
      </w:r>
      <w:r>
        <w:t xml:space="preserve">.</w:t>
      </w:r>
    </w:p>
    <w:p>
      <w:pPr>
        <w:numPr>
          <w:ilvl w:val="0"/>
          <w:numId w:val="1004"/>
        </w:numPr>
        <w:pStyle w:val="Compact"/>
      </w:pPr>
      <w:r>
        <w:t xml:space="preserve">Runway on this round = ₹10,51,171 ÷ ₹1,45,996 =</w:t>
      </w:r>
      <w:r>
        <w:t xml:space="preserve"> </w:t>
      </w:r>
      <w:r>
        <w:rPr>
          <w:bCs/>
          <w:b/>
        </w:rPr>
        <w:t xml:space="preserve">7.2 months</w:t>
      </w:r>
      <w:r>
        <w:t xml:space="preserve"> </w:t>
      </w:r>
      <w:r>
        <w:t xml:space="preserve">at Phase-1 burn.</w:t>
      </w:r>
    </w:p>
    <w:p>
      <w:pPr>
        <w:numPr>
          <w:ilvl w:val="0"/>
          <w:numId w:val="1004"/>
        </w:numPr>
        <w:pStyle w:val="Compact"/>
      </w:pPr>
      <w:r>
        <w:rPr>
          <w:bCs/>
          <w:b/>
        </w:rPr>
        <w:t xml:space="preserve">Projected zero-cash date: January 2028 (M7)</w:t>
      </w:r>
      <w:r>
        <w:t xml:space="preserve">, when Phase-2 spending starts. Tranche 2 (₹37.71 L) must close by then; if it is late, hiring, inventory and testing pause and the buffer stretches to about M14.</w:t>
      </w:r>
    </w:p>
    <w:bookmarkEnd w:id="71"/>
    <w:bookmarkStart w:id="72" w:name="Xc968a6c51969c2aea0665fe33ff4738b47dec1b"/>
    <w:p>
      <w:pPr>
        <w:pStyle w:val="Heading2"/>
      </w:pPr>
      <w:r>
        <w:t xml:space="preserve">4. Bad-growth scenario (toggle: price cut to grow faster)</w:t>
      </w:r>
    </w:p>
    <w:tbl>
      <w:tblPr>
        <w:tblStyle w:val="Table"/>
        <w:tblW w:type="pct" w:w="5000"/>
        <w:tblLook w:firstRow="1" w:lastRow="0" w:firstColumn="0" w:lastColumn="0" w:noHBand="0" w:noVBand="0" w:val="0020"/>
        <w:jc w:val="start"/>
      </w:tblPr>
      <w:tblGrid>
        <w:gridCol w:w="3168"/>
        <w:gridCol w:w="2376"/>
        <w:gridCol w:w="2376"/>
      </w:tblGrid>
      <w:tr>
        <w:trPr>
          <w:tblHeader w:val="true"/>
        </w:trPr>
        <w:tc>
          <w:tcPr/>
          <w:p>
            <w:pPr>
              <w:pStyle w:val="Compact"/>
              <w:jc w:val="left"/>
            </w:pPr>
            <w:r>
              <w:t xml:space="preserve">Year-2 TremoSense</w:t>
            </w:r>
          </w:p>
        </w:tc>
        <w:tc>
          <w:tcPr/>
          <w:p>
            <w:pPr>
              <w:pStyle w:val="Compact"/>
              <w:jc w:val="left"/>
            </w:pPr>
            <w:r>
              <w:t xml:space="preserve">Normal plan</w:t>
            </w:r>
          </w:p>
        </w:tc>
        <w:tc>
          <w:tcPr/>
          <w:p>
            <w:pPr>
              <w:pStyle w:val="Compact"/>
              <w:jc w:val="left"/>
            </w:pPr>
            <w:r>
              <w:t xml:space="preserve">Bad growth</w:t>
            </w:r>
          </w:p>
        </w:tc>
      </w:tr>
      <w:tr>
        <w:tc>
          <w:tcPr/>
          <w:p>
            <w:pPr>
              <w:pStyle w:val="Compact"/>
              <w:jc w:val="left"/>
            </w:pPr>
            <w:r>
              <w:t xml:space="preserve">Price</w:t>
            </w:r>
          </w:p>
        </w:tc>
        <w:tc>
          <w:tcPr/>
          <w:p>
            <w:pPr>
              <w:pStyle w:val="Compact"/>
              <w:jc w:val="left"/>
            </w:pPr>
            <w:r>
              <w:t xml:space="preserve">₹9,999</w:t>
            </w:r>
          </w:p>
        </w:tc>
        <w:tc>
          <w:tcPr/>
          <w:p>
            <w:pPr>
              <w:pStyle w:val="Compact"/>
              <w:jc w:val="left"/>
            </w:pPr>
            <w:r>
              <w:t xml:space="preserve">₹5,999 (discount to chase volume)</w:t>
            </w:r>
          </w:p>
        </w:tc>
      </w:tr>
      <w:tr>
        <w:tc>
          <w:tcPr/>
          <w:p>
            <w:pPr>
              <w:pStyle w:val="Compact"/>
              <w:jc w:val="left"/>
            </w:pPr>
            <w:r>
              <w:t xml:space="preserve">Units sold</w:t>
            </w:r>
          </w:p>
        </w:tc>
        <w:tc>
          <w:tcPr/>
          <w:p>
            <w:pPr>
              <w:pStyle w:val="Compact"/>
              <w:jc w:val="left"/>
            </w:pPr>
            <w:r>
              <w:t xml:space="preserve">695</w:t>
            </w:r>
          </w:p>
        </w:tc>
        <w:tc>
          <w:tcPr/>
          <w:p>
            <w:pPr>
              <w:pStyle w:val="Compact"/>
              <w:jc w:val="left"/>
            </w:pPr>
            <w:r>
              <w:t xml:space="preserve">1,390 (twice the volume)</w:t>
            </w:r>
          </w:p>
        </w:tc>
      </w:tr>
      <w:tr>
        <w:tc>
          <w:tcPr/>
          <w:p>
            <w:pPr>
              <w:pStyle w:val="Compact"/>
              <w:jc w:val="left"/>
            </w:pPr>
            <w:r>
              <w:t xml:space="preserve">Contribution per unit (Scenario B cost)</w:t>
            </w:r>
          </w:p>
        </w:tc>
        <w:tc>
          <w:tcPr/>
          <w:p>
            <w:pPr>
              <w:pStyle w:val="Compact"/>
              <w:jc w:val="left"/>
            </w:pPr>
            <w:r>
              <w:t xml:space="preserve">₹2,538</w:t>
            </w:r>
          </w:p>
        </w:tc>
        <w:tc>
          <w:tcPr/>
          <w:p>
            <w:pPr>
              <w:pStyle w:val="Compact"/>
              <w:jc w:val="left"/>
            </w:pPr>
            <w:r>
              <w:t xml:space="preserve">-₹510</w:t>
            </w:r>
          </w:p>
        </w:tc>
      </w:tr>
      <w:tr>
        <w:tc>
          <w:tcPr/>
          <w:p>
            <w:pPr>
              <w:pStyle w:val="Compact"/>
              <w:jc w:val="left"/>
            </w:pPr>
            <w:r>
              <w:t xml:space="preserve">CAC per customer</w:t>
            </w:r>
          </w:p>
        </w:tc>
        <w:tc>
          <w:tcPr/>
          <w:p>
            <w:pPr>
              <w:pStyle w:val="Compact"/>
              <w:jc w:val="left"/>
            </w:pPr>
            <w:r>
              <w:t xml:space="preserve">₹1,079</w:t>
            </w:r>
          </w:p>
        </w:tc>
        <w:tc>
          <w:tcPr/>
          <w:p>
            <w:pPr>
              <w:pStyle w:val="Compact"/>
              <w:jc w:val="left"/>
            </w:pPr>
            <w:r>
              <w:t xml:space="preserve">₹1,079</w:t>
            </w:r>
          </w:p>
        </w:tc>
      </w:tr>
      <w:tr>
        <w:tc>
          <w:tcPr/>
          <w:p>
            <w:pPr>
              <w:pStyle w:val="Compact"/>
              <w:jc w:val="left"/>
            </w:pPr>
            <w:r>
              <w:t xml:space="preserve">Contribution − CAC per customer</w:t>
            </w:r>
          </w:p>
        </w:tc>
        <w:tc>
          <w:tcPr/>
          <w:p>
            <w:pPr>
              <w:pStyle w:val="Compact"/>
              <w:jc w:val="left"/>
            </w:pPr>
            <w:r>
              <w:t xml:space="preserve">₹1,459</w:t>
            </w:r>
          </w:p>
        </w:tc>
        <w:tc>
          <w:tcPr/>
          <w:p>
            <w:pPr>
              <w:pStyle w:val="Compact"/>
              <w:jc w:val="left"/>
            </w:pPr>
            <w:r>
              <w:t xml:space="preserve">-₹1,589</w:t>
            </w:r>
          </w:p>
        </w:tc>
      </w:tr>
      <w:tr>
        <w:tc>
          <w:tcPr/>
          <w:p>
            <w:pPr>
              <w:pStyle w:val="Compact"/>
              <w:jc w:val="left"/>
            </w:pPr>
            <w:r>
              <w:rPr>
                <w:bCs/>
                <w:b/>
              </w:rPr>
              <w:t xml:space="preserve">Total effect on cash</w:t>
            </w:r>
          </w:p>
        </w:tc>
        <w:tc>
          <w:tcPr/>
          <w:p>
            <w:pPr>
              <w:pStyle w:val="Compact"/>
              <w:jc w:val="left"/>
            </w:pPr>
            <w:r>
              <w:rPr>
                <w:bCs/>
                <w:b/>
              </w:rPr>
              <w:t xml:space="preserve">₹10,14,005</w:t>
            </w:r>
          </w:p>
        </w:tc>
        <w:tc>
          <w:tcPr/>
          <w:p>
            <w:pPr>
              <w:pStyle w:val="Compact"/>
              <w:jc w:val="left"/>
            </w:pPr>
            <w:r>
              <w:rPr>
                <w:bCs/>
                <w:b/>
              </w:rPr>
              <w:t xml:space="preserve">-₹22,08,710</w:t>
            </w:r>
          </w:p>
        </w:tc>
      </w:tr>
    </w:tbl>
    <w:p>
      <w:pPr>
        <w:pStyle w:val="BodyText"/>
      </w:pPr>
      <w:r>
        <w:t xml:space="preserve">In the bad-growth case every extra customer loses ₹1,589, so doubling volume deepens the loss by ₹32.23 L versus the plan and pulls the zero-cash date earlier. This is why the plan holds ₹9,999 until a verified cost reduction (Scenario C) makes ₹8,999 profitable.</w:t>
      </w:r>
      <w:r>
        <w:t xml:space="preserve"> </w:t>
      </w:r>
      <w:r>
        <w:t xml:space="preserve">(Illustrative toggle built from the model's Price Matrix; not a separate sheet in the workbook.)</w:t>
      </w:r>
    </w:p>
    <w:bookmarkEnd w:id="72"/>
    <w:bookmarkEnd w:id="73"/>
    <w:bookmarkStart w:id="79" w:name="M3.3"/>
    <w:p>
      <w:pPr>
        <w:pStyle w:val="BodyText"/>
      </w:pPr>
      <w:r>
        <w:t xml:space="preserve">M3 · Activity 3 · Mandatory Model M3.3</w:t>
      </w:r>
    </w:p>
    <w:bookmarkStart w:id="74" w:name="legal-structure-gst-compliance-blueprint"/>
    <w:p>
      <w:pPr>
        <w:pStyle w:val="Heading1"/>
      </w:pPr>
      <w:r>
        <w:t xml:space="preserve">Legal-Structure, GST &amp; Compliance Blueprint</w:t>
      </w:r>
    </w:p>
    <w:tbl>
      <w:tblPr>
        <w:tblStyle w:val="Table"/>
        <w:tblW w:type="auto" w:w="0"/>
        <w:tblLook w:firstRow="0" w:lastRow="0" w:firstColumn="0" w:lastColumn="0" w:noHBand="0" w:noVBand="0" w:val="0000"/>
        <w:jc w:val="start"/>
      </w:tblPr>
      <w:tblGrid>
        <w:gridCol w:w="1980"/>
        <w:gridCol w:w="1980"/>
        <w:gridCol w:w="1980"/>
        <w:gridCol w:w="1980"/>
      </w:tblGrid>
      <w:tr>
        <w:tc>
          <w:tcPr/>
          <w:p>
            <w:pPr>
              <w:pStyle w:val="Compact"/>
              <w:jc w:val="left"/>
            </w:pPr>
            <w:r>
              <w:rPr>
                <w:bCs/>
                <w:b/>
              </w:rPr>
              <w:t xml:space="preserve">Module</w:t>
            </w:r>
            <w:r>
              <w:t xml:space="preserve"> </w:t>
            </w:r>
            <w:r>
              <w:t xml:space="preserve">3</w:t>
            </w:r>
          </w:p>
        </w:tc>
        <w:tc>
          <w:tcPr/>
          <w:p>
            <w:pPr>
              <w:pStyle w:val="Compact"/>
              <w:jc w:val="left"/>
            </w:pPr>
            <w:r>
              <w:rPr>
                <w:bCs/>
                <w:b/>
              </w:rPr>
              <w:t xml:space="preserve">Activity</w:t>
            </w:r>
            <w:r>
              <w:t xml:space="preserve"> </w:t>
            </w:r>
            <w:r>
              <w:t xml:space="preserve">3</w:t>
            </w:r>
          </w:p>
        </w:tc>
        <w:tc>
          <w:tcPr/>
          <w:p>
            <w:pPr>
              <w:pStyle w:val="Compact"/>
              <w:jc w:val="left"/>
            </w:pPr>
            <w:r>
              <w:rPr>
                <w:bCs/>
                <w:b/>
              </w:rPr>
              <w:t xml:space="preserve">Date completed</w:t>
            </w:r>
            <w:r>
              <w:t xml:space="preserve"> </w:t>
            </w:r>
            <w:r>
              <w:t xml:space="preserve">30 Sep 2026</w:t>
            </w:r>
          </w:p>
        </w:tc>
        <w:tc>
          <w:tcPr/>
          <w:p>
            <w:pPr>
              <w:pStyle w:val="Compact"/>
              <w:jc w:val="left"/>
            </w:pPr>
            <w:r>
              <w:rPr>
                <w:bCs/>
                <w:b/>
              </w:rPr>
              <w:t xml:space="preserve">Venture</w:t>
            </w:r>
            <w:r>
              <w:t xml:space="preserve"> </w:t>
            </w:r>
            <w:r>
              <w:t xml:space="preserve">AVERRA</w:t>
            </w:r>
          </w:p>
        </w:tc>
      </w:tr>
      <w:tr>
        <w:tc>
          <w:tcPr>
            <w:gridSpan w:val="4"/>
          </w:tcPr>
          <w:p>
            <w:pPr>
              <w:pStyle w:val="Compact"/>
              <w:jc w:val="left"/>
            </w:pPr>
            <w:r>
              <w:rPr>
                <w:bCs/>
                <w:b/>
              </w:rPr>
              <w:t xml:space="preserve">Evidence status:</w:t>
            </w:r>
            <w:r>
              <w:t xml:space="preserve"> </w:t>
            </w:r>
            <w:r>
              <w:t xml:space="preserve">Completed · illustrative GST working</w:t>
            </w:r>
          </w:p>
        </w:tc>
      </w:tr>
      <w:tr>
        <w:tc>
          <w:tcPr>
            <w:gridSpan w:val="4"/>
          </w:tcPr>
          <w:p>
            <w:pPr>
              <w:pStyle w:val="Compact"/>
              <w:jc w:val="left"/>
            </w:pPr>
            <w:r>
              <w:t xml:space="preserve">Data note: GST figures are worked examples; rates and HSN codes to be confirmed with a chartered accountant.</w:t>
            </w:r>
          </w:p>
        </w:tc>
      </w:tr>
    </w:tbl>
    <w:bookmarkEnd w:id="74"/>
    <w:p>
      <w:pPr>
        <w:pStyle w:val="BodyText"/>
      </w:pPr>
      <w:r>
        <w:t xml:space="preserve">Educational blueprint, not legal or tax advice. GST rates and HSN codes for TremoSense (assumed 5%) and ParkinSense (assumed 18%) must be confirmed with a chartered accountant.</w:t>
      </w:r>
    </w:p>
    <w:bookmarkStart w:id="75" w:name="structure-comparison-for-averra"/>
    <w:p>
      <w:pPr>
        <w:pStyle w:val="Heading2"/>
      </w:pPr>
      <w:r>
        <w:t xml:space="preserve">1. Structure comparison for AVERRA</w:t>
      </w:r>
    </w:p>
    <w:tbl>
      <w:tblPr>
        <w:tblStyle w:val="Table"/>
        <w:tblW w:type="pct" w:w="5000"/>
        <w:tblLook w:firstRow="1" w:lastRow="0" w:firstColumn="0" w:lastColumn="0" w:noHBand="0" w:noVBand="0" w:val="0020"/>
        <w:jc w:val="start"/>
      </w:tblPr>
      <w:tblGrid>
        <w:gridCol w:w="1900"/>
        <w:gridCol w:w="1425"/>
        <w:gridCol w:w="1425"/>
        <w:gridCol w:w="1425"/>
        <w:gridCol w:w="1742"/>
      </w:tblGrid>
      <w:tr>
        <w:trPr>
          <w:tblHeader w:val="true"/>
        </w:trPr>
        <w:tc>
          <w:tcPr/>
          <w:p>
            <w:pPr>
              <w:pStyle w:val="Compact"/>
            </w:pPr>
          </w:p>
        </w:tc>
        <w:tc>
          <w:tcPr/>
          <w:p>
            <w:pPr>
              <w:pStyle w:val="Compact"/>
              <w:jc w:val="left"/>
            </w:pPr>
            <w:r>
              <w:t xml:space="preserve">Proprietorship</w:t>
            </w:r>
          </w:p>
        </w:tc>
        <w:tc>
          <w:tcPr/>
          <w:p>
            <w:pPr>
              <w:pStyle w:val="Compact"/>
              <w:jc w:val="left"/>
            </w:pPr>
            <w:r>
              <w:t xml:space="preserve">Partnership</w:t>
            </w:r>
          </w:p>
        </w:tc>
        <w:tc>
          <w:tcPr/>
          <w:p>
            <w:pPr>
              <w:pStyle w:val="Compact"/>
              <w:jc w:val="left"/>
            </w:pPr>
            <w:r>
              <w:t xml:space="preserve">LLP</w:t>
            </w:r>
          </w:p>
        </w:tc>
        <w:tc>
          <w:tcPr/>
          <w:p>
            <w:pPr>
              <w:pStyle w:val="Compact"/>
              <w:jc w:val="left"/>
            </w:pPr>
            <w:r>
              <w:t xml:space="preserve">Private Limited</w:t>
            </w:r>
          </w:p>
        </w:tc>
      </w:tr>
      <w:tr>
        <w:tc>
          <w:tcPr/>
          <w:p>
            <w:pPr>
              <w:pStyle w:val="Compact"/>
              <w:jc w:val="left"/>
            </w:pPr>
            <w:r>
              <w:t xml:space="preserve">Liability</w:t>
            </w:r>
          </w:p>
        </w:tc>
        <w:tc>
          <w:tcPr/>
          <w:p>
            <w:pPr>
              <w:pStyle w:val="Compact"/>
              <w:jc w:val="left"/>
            </w:pPr>
            <w:r>
              <w:t xml:space="preserve">Unlimited, personal</w:t>
            </w:r>
          </w:p>
        </w:tc>
        <w:tc>
          <w:tcPr/>
          <w:p>
            <w:pPr>
              <w:pStyle w:val="Compact"/>
              <w:jc w:val="left"/>
            </w:pPr>
            <w:r>
              <w:t xml:space="preserve">Unlimited, joint</w:t>
            </w:r>
          </w:p>
        </w:tc>
        <w:tc>
          <w:tcPr/>
          <w:p>
            <w:pPr>
              <w:pStyle w:val="Compact"/>
              <w:jc w:val="left"/>
            </w:pPr>
            <w:r>
              <w:t xml:space="preserve">Limited</w:t>
            </w:r>
          </w:p>
        </w:tc>
        <w:tc>
          <w:tcPr/>
          <w:p>
            <w:pPr>
              <w:pStyle w:val="Compact"/>
              <w:jc w:val="left"/>
            </w:pPr>
            <w:r>
              <w:t xml:space="preserve">Limited</w:t>
            </w:r>
          </w:p>
        </w:tc>
      </w:tr>
      <w:tr>
        <w:tc>
          <w:tcPr/>
          <w:p>
            <w:pPr>
              <w:pStyle w:val="Compact"/>
              <w:jc w:val="left"/>
            </w:pPr>
            <w:r>
              <w:t xml:space="preserve">Paperwork</w:t>
            </w:r>
          </w:p>
        </w:tc>
        <w:tc>
          <w:tcPr/>
          <w:p>
            <w:pPr>
              <w:pStyle w:val="Compact"/>
              <w:jc w:val="left"/>
            </w:pPr>
            <w:r>
              <w:t xml:space="preserve">Lowest</w:t>
            </w:r>
          </w:p>
        </w:tc>
        <w:tc>
          <w:tcPr/>
          <w:p>
            <w:pPr>
              <w:pStyle w:val="Compact"/>
              <w:jc w:val="left"/>
            </w:pPr>
            <w:r>
              <w:t xml:space="preserve">Low (deed)</w:t>
            </w:r>
          </w:p>
        </w:tc>
        <w:tc>
          <w:tcPr/>
          <w:p>
            <w:pPr>
              <w:pStyle w:val="Compact"/>
              <w:jc w:val="left"/>
            </w:pPr>
            <w:r>
              <w:t xml:space="preserve">Moderate (annual LLP filings)</w:t>
            </w:r>
          </w:p>
        </w:tc>
        <w:tc>
          <w:tcPr/>
          <w:p>
            <w:pPr>
              <w:pStyle w:val="Compact"/>
              <w:jc w:val="left"/>
            </w:pPr>
            <w:r>
              <w:t xml:space="preserve">Highest (ROC filings, audit, board meetings)</w:t>
            </w:r>
          </w:p>
        </w:tc>
      </w:tr>
      <w:tr>
        <w:tc>
          <w:tcPr/>
          <w:p>
            <w:pPr>
              <w:pStyle w:val="Compact"/>
              <w:jc w:val="left"/>
            </w:pPr>
            <w:r>
              <w:t xml:space="preserve">Raising equity</w:t>
            </w:r>
          </w:p>
        </w:tc>
        <w:tc>
          <w:tcPr/>
          <w:p>
            <w:pPr>
              <w:pStyle w:val="Compact"/>
              <w:jc w:val="left"/>
            </w:pPr>
            <w:r>
              <w:t xml:space="preserve">Not possible</w:t>
            </w:r>
          </w:p>
        </w:tc>
        <w:tc>
          <w:tcPr/>
          <w:p>
            <w:pPr>
              <w:pStyle w:val="Compact"/>
              <w:jc w:val="left"/>
            </w:pPr>
            <w:r>
              <w:t xml:space="preserve">Not practical</w:t>
            </w:r>
          </w:p>
        </w:tc>
        <w:tc>
          <w:tcPr/>
          <w:p>
            <w:pPr>
              <w:pStyle w:val="Compact"/>
              <w:jc w:val="left"/>
            </w:pPr>
            <w:r>
              <w:t xml:space="preserve">No equity shares; VCs rarely invest</w:t>
            </w:r>
          </w:p>
        </w:tc>
        <w:tc>
          <w:tcPr/>
          <w:p>
            <w:pPr>
              <w:pStyle w:val="Compact"/>
              <w:jc w:val="left"/>
            </w:pPr>
            <w:r>
              <w:t xml:space="preserve">Equity shares, SAFEs/CCPS, ESOPs; standard for investors</w:t>
            </w:r>
          </w:p>
        </w:tc>
      </w:tr>
      <w:tr>
        <w:tc>
          <w:tcPr/>
          <w:p>
            <w:pPr>
              <w:pStyle w:val="Compact"/>
              <w:jc w:val="left"/>
            </w:pPr>
            <w:r>
              <w:t xml:space="preserve">DPIIT / Startup India / SISFS</w:t>
            </w:r>
          </w:p>
        </w:tc>
        <w:tc>
          <w:tcPr/>
          <w:p>
            <w:pPr>
              <w:pStyle w:val="Compact"/>
              <w:jc w:val="left"/>
            </w:pPr>
            <w:r>
              <w:t xml:space="preserve">No</w:t>
            </w:r>
          </w:p>
        </w:tc>
        <w:tc>
          <w:tcPr/>
          <w:p>
            <w:pPr>
              <w:pStyle w:val="Compact"/>
              <w:jc w:val="left"/>
            </w:pPr>
            <w:r>
              <w:t xml:space="preserve">Registered firms eligible</w:t>
            </w:r>
          </w:p>
        </w:tc>
        <w:tc>
          <w:tcPr/>
          <w:p>
            <w:pPr>
              <w:pStyle w:val="Compact"/>
              <w:jc w:val="left"/>
            </w:pPr>
            <w:r>
              <w:t xml:space="preserve">Eligible</w:t>
            </w:r>
          </w:p>
        </w:tc>
        <w:tc>
          <w:tcPr/>
          <w:p>
            <w:pPr>
              <w:pStyle w:val="Compact"/>
              <w:jc w:val="left"/>
            </w:pPr>
            <w:r>
              <w:t xml:space="preserve">Eligible</w:t>
            </w:r>
          </w:p>
        </w:tc>
      </w:tr>
      <w:tr>
        <w:tc>
          <w:tcPr/>
          <w:p>
            <w:pPr>
              <w:pStyle w:val="Compact"/>
              <w:jc w:val="left"/>
            </w:pPr>
            <w:r>
              <w:t xml:space="preserve">Fit for a two-founder medical-device startup</w:t>
            </w:r>
          </w:p>
        </w:tc>
        <w:tc>
          <w:tcPr/>
          <w:p>
            <w:pPr>
              <w:pStyle w:val="Compact"/>
              <w:jc w:val="left"/>
            </w:pPr>
            <w:r>
              <w:t xml:space="preserve">No</w:t>
            </w:r>
          </w:p>
        </w:tc>
        <w:tc>
          <w:tcPr/>
          <w:p>
            <w:pPr>
              <w:pStyle w:val="Compact"/>
              <w:jc w:val="left"/>
            </w:pPr>
            <w:r>
              <w:t xml:space="preserve">No</w:t>
            </w:r>
          </w:p>
        </w:tc>
        <w:tc>
          <w:tcPr/>
          <w:p>
            <w:pPr>
              <w:pStyle w:val="Compact"/>
              <w:jc w:val="left"/>
            </w:pPr>
            <w:r>
              <w:t xml:space="preserve">Partial</w:t>
            </w:r>
          </w:p>
        </w:tc>
        <w:tc>
          <w:tcPr/>
          <w:p>
            <w:pPr>
              <w:pStyle w:val="Compact"/>
              <w:jc w:val="left"/>
            </w:pPr>
            <w:r>
              <w:rPr>
                <w:bCs/>
                <w:b/>
              </w:rPr>
              <w:t xml:space="preserve">Best fit</w:t>
            </w:r>
          </w:p>
        </w:tc>
      </w:tr>
    </w:tbl>
    <w:p>
      <w:pPr>
        <w:pStyle w:val="BodyText"/>
      </w:pPr>
      <w:r>
        <w:rPr>
          <w:bCs/>
          <w:b/>
        </w:rPr>
        <w:t xml:space="preserve">Recommendation: Private Limited.</w:t>
      </w:r>
      <w:r>
        <w:t xml:space="preserve"> </w:t>
      </w:r>
      <w:r>
        <w:t xml:space="preserve">We plan to raise equity in two tranches and grant ESOPs, which needs shares; limited liability matters for a device used on the body; and DPIIT recognition plus the Startup India Seed Fund application (applied for, not secured) require a recognised entity.</w:t>
      </w:r>
    </w:p>
    <w:bookmarkEnd w:id="75"/>
    <w:bookmarkStart w:id="76" w:name="X964156e87913c643506855185b2bd025672fd6a"/>
    <w:p>
      <w:pPr>
        <w:pStyle w:val="Heading2"/>
      </w:pPr>
      <w:r>
        <w:t xml:space="preserve">2. Mock GST calculation (hypothetical example, per unit)</w:t>
      </w:r>
    </w:p>
    <w:tbl>
      <w:tblPr>
        <w:tblStyle w:val="Table"/>
        <w:tblW w:type="pct" w:w="5000"/>
        <w:tblLook w:firstRow="1" w:lastRow="0" w:firstColumn="0" w:lastColumn="0" w:noHBand="0" w:noVBand="0" w:val="0020"/>
        <w:jc w:val="start"/>
      </w:tblPr>
      <w:tblGrid>
        <w:gridCol w:w="2376"/>
        <w:gridCol w:w="3009"/>
        <w:gridCol w:w="2534"/>
      </w:tblGrid>
      <w:tr>
        <w:trPr>
          <w:tblHeader w:val="true"/>
        </w:trPr>
        <w:tc>
          <w:tcPr/>
          <w:p>
            <w:pPr>
              <w:pStyle w:val="Compact"/>
            </w:pPr>
          </w:p>
        </w:tc>
        <w:tc>
          <w:tcPr/>
          <w:p>
            <w:pPr>
              <w:pStyle w:val="Compact"/>
              <w:jc w:val="left"/>
            </w:pPr>
            <w:r>
              <w:t xml:space="preserve">TremoSense @ ₹9,999 (5% assumed)</w:t>
            </w:r>
          </w:p>
        </w:tc>
        <w:tc>
          <w:tcPr/>
          <w:p>
            <w:pPr>
              <w:pStyle w:val="Compact"/>
              <w:jc w:val="left"/>
            </w:pPr>
            <w:r>
              <w:t xml:space="preserve">ParkinSense @ ₹7,999 (18% assumed)</w:t>
            </w:r>
          </w:p>
        </w:tc>
      </w:tr>
      <w:tr>
        <w:tc>
          <w:tcPr/>
          <w:p>
            <w:pPr>
              <w:pStyle w:val="Compact"/>
              <w:jc w:val="left"/>
            </w:pPr>
            <w:r>
              <w:t xml:space="preserve">Output GST charged to customer</w:t>
            </w:r>
          </w:p>
        </w:tc>
        <w:tc>
          <w:tcPr/>
          <w:p>
            <w:pPr>
              <w:pStyle w:val="Compact"/>
              <w:jc w:val="left"/>
            </w:pPr>
            <w:r>
              <w:t xml:space="preserve">₹9,999 − ₹9,999/1.05 = ₹476</w:t>
            </w:r>
          </w:p>
        </w:tc>
        <w:tc>
          <w:tcPr/>
          <w:p>
            <w:pPr>
              <w:pStyle w:val="Compact"/>
              <w:jc w:val="left"/>
            </w:pPr>
            <w:r>
              <w:t xml:space="preserve">₹7,999 − ₹7,999/1.18 = ₹1,220</w:t>
            </w:r>
          </w:p>
        </w:tc>
      </w:tr>
      <w:tr>
        <w:tc>
          <w:tcPr/>
          <w:p>
            <w:pPr>
              <w:pStyle w:val="Compact"/>
              <w:jc w:val="left"/>
            </w:pPr>
            <w:r>
              <w:t xml:space="preserve">Input tax credit on purchases (18% on bought-in parts)</w:t>
            </w:r>
          </w:p>
        </w:tc>
        <w:tc>
          <w:tcPr/>
          <w:p>
            <w:pPr>
              <w:pStyle w:val="Compact"/>
              <w:jc w:val="left"/>
            </w:pPr>
            <w:r>
              <w:t xml:space="preserve">(COGS ₹4,830 − labour/QC ₹600) × 18% = ₹761</w:t>
            </w:r>
          </w:p>
        </w:tc>
        <w:tc>
          <w:tcPr/>
          <w:p>
            <w:pPr>
              <w:pStyle w:val="Compact"/>
              <w:jc w:val="left"/>
            </w:pPr>
            <w:r>
              <w:t xml:space="preserve">COGS ₹3,530 × 18% = ₹635</w:t>
            </w:r>
          </w:p>
        </w:tc>
      </w:tr>
      <w:tr>
        <w:tc>
          <w:tcPr/>
          <w:p>
            <w:pPr>
              <w:pStyle w:val="Compact"/>
              <w:jc w:val="left"/>
            </w:pPr>
            <w:r>
              <w:rPr>
                <w:bCs/>
                <w:b/>
              </w:rPr>
              <w:t xml:space="preserve">Net GST payable</w:t>
            </w:r>
          </w:p>
        </w:tc>
        <w:tc>
          <w:tcPr/>
          <w:p>
            <w:pPr>
              <w:pStyle w:val="Compact"/>
              <w:jc w:val="left"/>
            </w:pPr>
            <w:r>
              <w:rPr>
                <w:bCs/>
                <w:b/>
              </w:rPr>
              <w:t xml:space="preserve">-₹285</w:t>
            </w:r>
            <w:r>
              <w:t xml:space="preserve"> </w:t>
            </w:r>
            <w:r>
              <w:t xml:space="preserve">→ credit (inverted duty: input rate &gt; output rate; refund can be claimed under Sec 54(3), CGST Act)</w:t>
            </w:r>
          </w:p>
        </w:tc>
        <w:tc>
          <w:tcPr/>
          <w:p>
            <w:pPr>
              <w:pStyle w:val="Compact"/>
              <w:jc w:val="left"/>
            </w:pPr>
            <w:r>
              <w:rPr>
                <w:bCs/>
                <w:b/>
              </w:rPr>
              <w:t xml:space="preserve">₹585</w:t>
            </w:r>
            <w:r>
              <w:t xml:space="preserve"> </w:t>
            </w:r>
            <w:r>
              <w:t xml:space="preserve">payable</w:t>
            </w:r>
          </w:p>
        </w:tc>
      </w:tr>
      <w:tr>
        <w:tc>
          <w:tcPr/>
          <w:p>
            <w:pPr>
              <w:pStyle w:val="Compact"/>
              <w:jc w:val="left"/>
            </w:pPr>
            <w:r>
              <w:t xml:space="preserve">For 100 units</w:t>
            </w:r>
          </w:p>
        </w:tc>
        <w:tc>
          <w:tcPr/>
          <w:p>
            <w:pPr>
              <w:pStyle w:val="Compact"/>
              <w:jc w:val="left"/>
            </w:pPr>
            <w:r>
              <w:t xml:space="preserve">-₹28,526</w:t>
            </w:r>
          </w:p>
        </w:tc>
        <w:tc>
          <w:tcPr/>
          <w:p>
            <w:pPr>
              <w:pStyle w:val="Compact"/>
              <w:jc w:val="left"/>
            </w:pPr>
            <w:r>
              <w:t xml:space="preserve">₹58,479</w:t>
            </w:r>
          </w:p>
        </w:tc>
      </w:tr>
    </w:tbl>
    <w:bookmarkEnd w:id="76"/>
    <w:bookmarkStart w:id="77" w:name="X034a7c7c697bd8c3d3ded713306c3e66238a4d2"/>
    <w:p>
      <w:pPr>
        <w:pStyle w:val="Heading2"/>
      </w:pPr>
      <w:r>
        <w:t xml:space="preserve">3. First-year compliance calendar (to confirm with a CA/CS)</w:t>
      </w:r>
    </w:p>
    <w:tbl>
      <w:tblPr>
        <w:tblStyle w:val="Table"/>
        <w:tblW w:type="pct" w:w="5000"/>
        <w:tblLook w:firstRow="1" w:lastRow="0" w:firstColumn="0" w:lastColumn="0" w:noHBand="0" w:noVBand="0" w:val="0020"/>
        <w:jc w:val="start"/>
      </w:tblPr>
      <w:tblGrid>
        <w:gridCol w:w="1900"/>
        <w:gridCol w:w="6019"/>
      </w:tblGrid>
      <w:tr>
        <w:trPr>
          <w:tblHeader w:val="true"/>
        </w:trPr>
        <w:tc>
          <w:tcPr/>
          <w:p>
            <w:pPr>
              <w:pStyle w:val="Compact"/>
              <w:jc w:val="left"/>
            </w:pPr>
            <w:r>
              <w:t xml:space="preserve">When</w:t>
            </w:r>
          </w:p>
        </w:tc>
        <w:tc>
          <w:tcPr/>
          <w:p>
            <w:pPr>
              <w:pStyle w:val="Compact"/>
              <w:jc w:val="left"/>
            </w:pPr>
            <w:r>
              <w:t xml:space="preserve">Filing / task</w:t>
            </w:r>
          </w:p>
        </w:tc>
      </w:tr>
      <w:tr>
        <w:tc>
          <w:tcPr/>
          <w:p>
            <w:pPr>
              <w:pStyle w:val="Compact"/>
              <w:jc w:val="left"/>
            </w:pPr>
            <w:r>
              <w:t xml:space="preserve">Before M1</w:t>
            </w:r>
          </w:p>
        </w:tc>
        <w:tc>
          <w:tcPr/>
          <w:p>
            <w:pPr>
              <w:pStyle w:val="Compact"/>
              <w:jc w:val="left"/>
            </w:pPr>
            <w:r>
              <w:t xml:space="preserve">Incorporate Pvt Ltd (SPICe+), PAN/TAN, bank account; founders' agreement and inventor assignments</w:t>
            </w:r>
          </w:p>
        </w:tc>
      </w:tr>
      <w:tr>
        <w:tc>
          <w:tcPr/>
          <w:p>
            <w:pPr>
              <w:pStyle w:val="Compact"/>
              <w:jc w:val="left"/>
            </w:pPr>
            <w:r>
              <w:t xml:space="preserve">Within 30 days</w:t>
            </w:r>
          </w:p>
        </w:tc>
        <w:tc>
          <w:tcPr/>
          <w:p>
            <w:pPr>
              <w:pStyle w:val="Compact"/>
              <w:jc w:val="left"/>
            </w:pPr>
            <w:r>
              <w:t xml:space="preserve">Appoint first auditor (ADT-1); first board meeting</w:t>
            </w:r>
          </w:p>
        </w:tc>
      </w:tr>
      <w:tr>
        <w:tc>
          <w:tcPr/>
          <w:p>
            <w:pPr>
              <w:pStyle w:val="Compact"/>
              <w:jc w:val="left"/>
            </w:pPr>
            <w:r>
              <w:t xml:space="preserve">Within 180 days</w:t>
            </w:r>
          </w:p>
        </w:tc>
        <w:tc>
          <w:tcPr/>
          <w:p>
            <w:pPr>
              <w:pStyle w:val="Compact"/>
              <w:jc w:val="left"/>
            </w:pPr>
            <w:r>
              <w:t xml:space="preserve">Commencement of business (INC-20A)</w:t>
            </w:r>
          </w:p>
        </w:tc>
      </w:tr>
      <w:tr>
        <w:tc>
          <w:tcPr/>
          <w:p>
            <w:pPr>
              <w:pStyle w:val="Compact"/>
              <w:jc w:val="left"/>
            </w:pPr>
            <w:r>
              <w:t xml:space="preserve">On turnover/inter-state supply</w:t>
            </w:r>
          </w:p>
        </w:tc>
        <w:tc>
          <w:tcPr/>
          <w:p>
            <w:pPr>
              <w:pStyle w:val="Compact"/>
              <w:jc w:val="left"/>
            </w:pPr>
            <w:r>
              <w:t xml:space="preserve">GST registration; then GSTR-1 (11th) and GSTR-3B (20th) monthly, or QRMP quarterly</w:t>
            </w:r>
          </w:p>
        </w:tc>
      </w:tr>
      <w:tr>
        <w:tc>
          <w:tcPr/>
          <w:p>
            <w:pPr>
              <w:pStyle w:val="Compact"/>
              <w:jc w:val="left"/>
            </w:pPr>
            <w:r>
              <w:t xml:space="preserve">Quarterly</w:t>
            </w:r>
          </w:p>
        </w:tc>
        <w:tc>
          <w:tcPr/>
          <w:p>
            <w:pPr>
              <w:pStyle w:val="Compact"/>
              <w:jc w:val="left"/>
            </w:pPr>
            <w:r>
              <w:t xml:space="preserve">TDS returns; board meeting (at least 4 a year)</w:t>
            </w:r>
          </w:p>
        </w:tc>
      </w:tr>
      <w:tr>
        <w:tc>
          <w:tcPr/>
          <w:p>
            <w:pPr>
              <w:pStyle w:val="Compact"/>
              <w:jc w:val="left"/>
            </w:pPr>
            <w:r>
              <w:t xml:space="preserve">M2</w:t>
            </w:r>
          </w:p>
        </w:tc>
        <w:tc>
          <w:tcPr/>
          <w:p>
            <w:pPr>
              <w:pStyle w:val="Compact"/>
              <w:jc w:val="left"/>
            </w:pPr>
            <w:r>
              <w:t xml:space="preserve">Provisional patent filing (planned); trademark applications</w:t>
            </w:r>
          </w:p>
        </w:tc>
      </w:tr>
      <w:tr>
        <w:tc>
          <w:tcPr/>
          <w:p>
            <w:pPr>
              <w:pStyle w:val="Compact"/>
              <w:jc w:val="left"/>
            </w:pPr>
            <w:r>
              <w:t xml:space="preserve">M4</w:t>
            </w:r>
          </w:p>
        </w:tc>
        <w:tc>
          <w:tcPr/>
          <w:p>
            <w:pPr>
              <w:pStyle w:val="Compact"/>
              <w:jc w:val="left"/>
            </w:pPr>
            <w:r>
              <w:t xml:space="preserve">CDSCO classification opinion; ethics committee approval for the user study</w:t>
            </w:r>
          </w:p>
        </w:tc>
      </w:tr>
      <w:tr>
        <w:tc>
          <w:tcPr/>
          <w:p>
            <w:pPr>
              <w:pStyle w:val="Compact"/>
              <w:jc w:val="left"/>
            </w:pPr>
            <w:r>
              <w:t xml:space="preserve">M9–M10</w:t>
            </w:r>
          </w:p>
        </w:tc>
        <w:tc>
          <w:tcPr/>
          <w:p>
            <w:pPr>
              <w:pStyle w:val="Compact"/>
              <w:jc w:val="left"/>
            </w:pPr>
            <w:r>
              <w:t xml:space="preserve">CDSCO registration/licence application for TremoSense (class to be confirmed)</w:t>
            </w:r>
          </w:p>
        </w:tc>
      </w:tr>
      <w:tr>
        <w:tc>
          <w:tcPr/>
          <w:p>
            <w:pPr>
              <w:pStyle w:val="Compact"/>
              <w:jc w:val="left"/>
            </w:pPr>
            <w:r>
              <w:t xml:space="preserve">30 Sep</w:t>
            </w:r>
          </w:p>
        </w:tc>
        <w:tc>
          <w:tcPr/>
          <w:p>
            <w:pPr>
              <w:pStyle w:val="Compact"/>
              <w:jc w:val="left"/>
            </w:pPr>
            <w:r>
              <w:t xml:space="preserve">DIR-3 KYC for directors; AGM within six months of year end</w:t>
            </w:r>
          </w:p>
        </w:tc>
      </w:tr>
      <w:tr>
        <w:tc>
          <w:tcPr/>
          <w:p>
            <w:pPr>
              <w:pStyle w:val="Compact"/>
              <w:jc w:val="left"/>
            </w:pPr>
            <w:r>
              <w:t xml:space="preserve">31 Oct / Nov</w:t>
            </w:r>
          </w:p>
        </w:tc>
        <w:tc>
          <w:tcPr/>
          <w:p>
            <w:pPr>
              <w:pStyle w:val="Compact"/>
              <w:jc w:val="left"/>
            </w:pPr>
            <w:r>
              <w:t xml:space="preserve">ITR-6; AOC-4 and MGT-7 annual ROC filings</w:t>
            </w:r>
          </w:p>
        </w:tc>
      </w:tr>
      <w:tr>
        <w:tc>
          <w:tcPr/>
          <w:p>
            <w:pPr>
              <w:pStyle w:val="Compact"/>
              <w:jc w:val="left"/>
            </w:pPr>
            <w:r>
              <w:t xml:space="preserve">Any time</w:t>
            </w:r>
          </w:p>
        </w:tc>
        <w:tc>
          <w:tcPr/>
          <w:p>
            <w:pPr>
              <w:pStyle w:val="Compact"/>
              <w:jc w:val="left"/>
            </w:pPr>
            <w:r>
              <w:t xml:space="preserve">DPIIT Startup recognition; Startup India Seed Fund application (applied for, not secured)</w:t>
            </w:r>
          </w:p>
        </w:tc>
      </w:tr>
    </w:tbl>
    <w:bookmarkEnd w:id="77"/>
    <w:bookmarkStart w:id="78" w:name="founder-agreement-clauses-proposed"/>
    <w:p>
      <w:pPr>
        <w:pStyle w:val="Heading2"/>
      </w:pPr>
      <w:r>
        <w:t xml:space="preserve">4. Founder-agreement clauses (proposed)</w:t>
      </w:r>
    </w:p>
    <w:p>
      <w:pPr>
        <w:numPr>
          <w:ilvl w:val="0"/>
          <w:numId w:val="1005"/>
        </w:numPr>
        <w:pStyle w:val="Compact"/>
      </w:pPr>
      <w:r>
        <w:rPr>
          <w:bCs/>
          <w:b/>
        </w:rPr>
        <w:t xml:space="preserve">Equity and vesting:</w:t>
      </w:r>
      <w:r>
        <w:t xml:space="preserve"> </w:t>
      </w:r>
      <w:r>
        <w:t xml:space="preserve">founder shares vest over 4 years with a 1-year cliff; unvested shares return to the company on departure.</w:t>
      </w:r>
    </w:p>
    <w:p>
      <w:pPr>
        <w:numPr>
          <w:ilvl w:val="0"/>
          <w:numId w:val="1005"/>
        </w:numPr>
        <w:pStyle w:val="Compact"/>
      </w:pPr>
      <w:r>
        <w:rPr>
          <w:bCs/>
          <w:b/>
        </w:rPr>
        <w:t xml:space="preserve">Roles:</w:t>
      </w:r>
      <w:r>
        <w:t xml:space="preserve"> </w:t>
      </w:r>
      <w:r>
        <w:t xml:space="preserve">Pranshu — CEO, wearable hardware and firmware; Pawan — control, gimbal and power electronics. Both remain the hardware and test engineers.</w:t>
      </w:r>
    </w:p>
    <w:p>
      <w:pPr>
        <w:numPr>
          <w:ilvl w:val="0"/>
          <w:numId w:val="1005"/>
        </w:numPr>
        <w:pStyle w:val="Compact"/>
      </w:pPr>
      <w:r>
        <w:rPr>
          <w:bCs/>
          <w:b/>
        </w:rPr>
        <w:t xml:space="preserve">Decision-making:</w:t>
      </w:r>
      <w:r>
        <w:t xml:space="preserve"> </w:t>
      </w:r>
      <w:r>
        <w:t xml:space="preserve">day-to-day decisions by the role owner; fundraising, new products, hiring above ₹30,000/month and any medical claim need both founders.</w:t>
      </w:r>
    </w:p>
    <w:p>
      <w:pPr>
        <w:numPr>
          <w:ilvl w:val="0"/>
          <w:numId w:val="1005"/>
        </w:numPr>
        <w:pStyle w:val="Compact"/>
      </w:pPr>
      <w:r>
        <w:rPr>
          <w:bCs/>
          <w:b/>
        </w:rPr>
        <w:t xml:space="preserve">Departure:</w:t>
      </w:r>
      <w:r>
        <w:t xml:space="preserve"> </w:t>
      </w:r>
      <w:r>
        <w:t xml:space="preserve">good-leaver keeps vested shares; bad-leaver (fraud, breach) sells vested shares back at face value; 3-month notice and handover.</w:t>
      </w:r>
    </w:p>
    <w:p>
      <w:pPr>
        <w:numPr>
          <w:ilvl w:val="0"/>
          <w:numId w:val="1005"/>
        </w:numPr>
        <w:pStyle w:val="Compact"/>
      </w:pPr>
      <w:r>
        <w:rPr>
          <w:bCs/>
          <w:b/>
        </w:rPr>
        <w:t xml:space="preserve">IP assignment:</w:t>
      </w:r>
      <w:r>
        <w:t xml:space="preserve"> </w:t>
      </w:r>
      <w:r>
        <w:t xml:space="preserve">all IP created for AVERRA (including pre-incorporation prototypes) is assigned to the company before any patent filing.</w:t>
      </w:r>
    </w:p>
    <w:bookmarkEnd w:id="78"/>
    <w:bookmarkEnd w:id="79"/>
    <w:bookmarkStart w:id="86" w:name="M4.1"/>
    <w:p>
      <w:pPr>
        <w:pStyle w:val="FirstParagraph"/>
      </w:pPr>
      <w:r>
        <w:t xml:space="preserve">M4 · Activity 1 · Mandatory Model M4.1</w:t>
      </w:r>
    </w:p>
    <w:bookmarkStart w:id="80" w:name="team-incentive-blueprint"/>
    <w:p>
      <w:pPr>
        <w:pStyle w:val="Heading1"/>
      </w:pPr>
      <w:r>
        <w:t xml:space="preserve">Team &amp; Incentive Blueprint</w:t>
      </w:r>
    </w:p>
    <w:tbl>
      <w:tblPr>
        <w:tblStyle w:val="Table"/>
        <w:tblW w:type="auto" w:w="0"/>
        <w:tblLook w:firstRow="0" w:lastRow="0" w:firstColumn="0" w:lastColumn="0" w:noHBand="0" w:noVBand="0" w:val="0000"/>
        <w:jc w:val="start"/>
      </w:tblPr>
      <w:tblGrid>
        <w:gridCol w:w="1980"/>
        <w:gridCol w:w="1980"/>
        <w:gridCol w:w="1980"/>
        <w:gridCol w:w="1980"/>
      </w:tblGrid>
      <w:tr>
        <w:tc>
          <w:tcPr/>
          <w:p>
            <w:pPr>
              <w:pStyle w:val="Compact"/>
              <w:jc w:val="left"/>
            </w:pPr>
            <w:r>
              <w:rPr>
                <w:bCs/>
                <w:b/>
              </w:rPr>
              <w:t xml:space="preserve">Module</w:t>
            </w:r>
            <w:r>
              <w:t xml:space="preserve"> </w:t>
            </w:r>
            <w:r>
              <w:t xml:space="preserve">4</w:t>
            </w:r>
          </w:p>
        </w:tc>
        <w:tc>
          <w:tcPr/>
          <w:p>
            <w:pPr>
              <w:pStyle w:val="Compact"/>
              <w:jc w:val="left"/>
            </w:pPr>
            <w:r>
              <w:rPr>
                <w:bCs/>
                <w:b/>
              </w:rPr>
              <w:t xml:space="preserve">Activity</w:t>
            </w:r>
            <w:r>
              <w:t xml:space="preserve"> </w:t>
            </w:r>
            <w:r>
              <w:t xml:space="preserve">1</w:t>
            </w:r>
          </w:p>
        </w:tc>
        <w:tc>
          <w:tcPr/>
          <w:p>
            <w:pPr>
              <w:pStyle w:val="Compact"/>
              <w:jc w:val="left"/>
            </w:pPr>
            <w:r>
              <w:rPr>
                <w:bCs/>
                <w:b/>
              </w:rPr>
              <w:t xml:space="preserve">Date completed</w:t>
            </w:r>
            <w:r>
              <w:t xml:space="preserve"> </w:t>
            </w:r>
            <w:r>
              <w:t xml:space="preserve">3 Oct 2026</w:t>
            </w:r>
          </w:p>
        </w:tc>
        <w:tc>
          <w:tcPr/>
          <w:p>
            <w:pPr>
              <w:pStyle w:val="Compact"/>
              <w:jc w:val="left"/>
            </w:pPr>
            <w:r>
              <w:rPr>
                <w:bCs/>
                <w:b/>
              </w:rPr>
              <w:t xml:space="preserve">Venture</w:t>
            </w:r>
            <w:r>
              <w:t xml:space="preserve"> </w:t>
            </w:r>
            <w:r>
              <w:t xml:space="preserve">AVERRA</w:t>
            </w:r>
          </w:p>
        </w:tc>
      </w:tr>
      <w:tr>
        <w:tc>
          <w:tcPr>
            <w:gridSpan w:val="4"/>
          </w:tcPr>
          <w:p>
            <w:pPr>
              <w:pStyle w:val="Compact"/>
              <w:jc w:val="left"/>
            </w:pPr>
            <w:r>
              <w:rPr>
                <w:bCs/>
                <w:b/>
              </w:rPr>
              <w:t xml:space="preserve">Evidence status:</w:t>
            </w:r>
            <w:r>
              <w:t xml:space="preserve"> </w:t>
            </w:r>
            <w:r>
              <w:t xml:space="preserve">Completed · simulated mock interview</w:t>
            </w:r>
          </w:p>
        </w:tc>
      </w:tr>
      <w:tr>
        <w:tc>
          <w:tcPr>
            <w:gridSpan w:val="4"/>
          </w:tcPr>
          <w:p>
            <w:pPr>
              <w:pStyle w:val="Compact"/>
              <w:jc w:val="left"/>
            </w:pPr>
            <w:r>
              <w:t xml:space="preserve">Data note: Org chart and ESOP are from the model; the mock-interview record is simulated.</w:t>
            </w:r>
          </w:p>
        </w:tc>
      </w:tr>
    </w:tbl>
    <w:bookmarkEnd w:id="80"/>
    <w:bookmarkStart w:id="81" w:name="month-org-chart-and-hiring-sequence"/>
    <w:p>
      <w:pPr>
        <w:pStyle w:val="Heading2"/>
      </w:pPr>
      <w:r>
        <w:t xml:space="preserve">1. 12-month org chart and hiring sequence</w:t>
      </w:r>
    </w:p>
    <w:tbl>
      <w:tblPr>
        <w:tblStyle w:val="Table"/>
        <w:tblW w:type="pct" w:w="5000"/>
        <w:tblLook w:firstRow="1" w:lastRow="0" w:firstColumn="0" w:lastColumn="0" w:noHBand="0" w:noVBand="0" w:val="0020"/>
        <w:jc w:val="start"/>
      </w:tblPr>
      <w:tblGrid>
        <w:gridCol w:w="950"/>
        <w:gridCol w:w="4593"/>
        <w:gridCol w:w="2376"/>
      </w:tblGrid>
      <w:tr>
        <w:trPr>
          <w:tblHeader w:val="true"/>
        </w:trPr>
        <w:tc>
          <w:tcPr/>
          <w:p>
            <w:pPr>
              <w:pStyle w:val="Compact"/>
              <w:jc w:val="left"/>
            </w:pPr>
            <w:r>
              <w:t xml:space="preserve">Month</w:t>
            </w:r>
          </w:p>
        </w:tc>
        <w:tc>
          <w:tcPr/>
          <w:p>
            <w:pPr>
              <w:pStyle w:val="Compact"/>
              <w:jc w:val="left"/>
            </w:pPr>
            <w:r>
              <w:t xml:space="preserve">Team</w:t>
            </w:r>
          </w:p>
        </w:tc>
        <w:tc>
          <w:tcPr/>
          <w:p>
            <w:pPr>
              <w:pStyle w:val="Compact"/>
              <w:jc w:val="left"/>
            </w:pPr>
            <w:r>
              <w:t xml:space="preserve">Why then</w:t>
            </w:r>
          </w:p>
        </w:tc>
      </w:tr>
      <w:tr>
        <w:tc>
          <w:tcPr/>
          <w:p>
            <w:pPr>
              <w:pStyle w:val="Compact"/>
              <w:jc w:val="left"/>
            </w:pPr>
            <w:r>
              <w:t xml:space="preserve">M1–M6</w:t>
            </w:r>
          </w:p>
        </w:tc>
        <w:tc>
          <w:tcPr/>
          <w:p>
            <w:pPr>
              <w:pStyle w:val="Compact"/>
              <w:jc w:val="left"/>
            </w:pPr>
            <w:r>
              <w:t xml:space="preserve">Pranshu Kumar (CEO, wearable hardware &amp; firmware) · Pawan Shinde (control, gimbal &amp; power) — both hardware and test engineers</w:t>
            </w:r>
          </w:p>
        </w:tc>
        <w:tc>
          <w:tcPr/>
          <w:p>
            <w:pPr>
              <w:pStyle w:val="Compact"/>
              <w:jc w:val="left"/>
            </w:pPr>
            <w:r>
              <w:t xml:space="preserve">Phase 1 is engineering and validation; no hires</w:t>
            </w:r>
          </w:p>
        </w:tc>
      </w:tr>
      <w:tr>
        <w:tc>
          <w:tcPr/>
          <w:p>
            <w:pPr>
              <w:pStyle w:val="Compact"/>
              <w:jc w:val="left"/>
            </w:pPr>
            <w:r>
              <w:t xml:space="preserve">M7–M12</w:t>
            </w:r>
          </w:p>
        </w:tc>
        <w:tc>
          <w:tcPr/>
          <w:p>
            <w:pPr>
              <w:pStyle w:val="Compact"/>
              <w:jc w:val="left"/>
            </w:pPr>
            <w:r>
              <w:t xml:space="preserve">Founders + contract support (regulatory consultant, industrial designer, contract assembler)</w:t>
            </w:r>
          </w:p>
        </w:tc>
        <w:tc>
          <w:tcPr/>
          <w:p>
            <w:pPr>
              <w:pStyle w:val="Compact"/>
              <w:jc w:val="left"/>
            </w:pPr>
            <w:r>
              <w:t xml:space="preserve">Regulatory filing and pilot batch; contracts, not payroll</w:t>
            </w:r>
          </w:p>
        </w:tc>
      </w:tr>
      <w:tr>
        <w:tc>
          <w:tcPr/>
          <w:p>
            <w:pPr>
              <w:pStyle w:val="Compact"/>
              <w:jc w:val="left"/>
            </w:pPr>
            <w:r>
              <w:t xml:space="preserve">M19</w:t>
            </w:r>
          </w:p>
        </w:tc>
        <w:tc>
          <w:tcPr/>
          <w:p>
            <w:pPr>
              <w:pStyle w:val="Compact"/>
              <w:jc w:val="left"/>
            </w:pPr>
            <w:r>
              <w:t xml:space="preserve">+ Clinic-network sales lead · + Customer support &amp; operations</w:t>
            </w:r>
          </w:p>
        </w:tc>
        <w:tc>
          <w:tcPr/>
          <w:p>
            <w:pPr>
              <w:pStyle w:val="Compact"/>
              <w:jc w:val="left"/>
            </w:pPr>
            <w:r>
              <w:t xml:space="preserve">After first sales prove demand</w:t>
            </w:r>
          </w:p>
        </w:tc>
      </w:tr>
      <w:tr>
        <w:tc>
          <w:tcPr/>
          <w:p>
            <w:pPr>
              <w:pStyle w:val="Compact"/>
              <w:jc w:val="left"/>
            </w:pPr>
            <w:r>
              <w:t xml:space="preserve">M25</w:t>
            </w:r>
          </w:p>
        </w:tc>
        <w:tc>
          <w:tcPr/>
          <w:p>
            <w:pPr>
              <w:pStyle w:val="Compact"/>
              <w:jc w:val="left"/>
            </w:pPr>
            <w:r>
              <w:t xml:space="preserve">+ App &amp; firmware engineer (ParkinSense)</w:t>
            </w:r>
          </w:p>
        </w:tc>
        <w:tc>
          <w:tcPr/>
          <w:p>
            <w:pPr>
              <w:pStyle w:val="Compact"/>
              <w:jc w:val="left"/>
            </w:pPr>
            <w:r>
              <w:t xml:space="preserve">ParkinSense wellness launch</w:t>
            </w:r>
          </w:p>
        </w:tc>
      </w:tr>
    </w:tbl>
    <w:p>
      <w:pPr>
        <w:pStyle w:val="BodyText"/>
      </w:pPr>
      <w:r>
        <w:t xml:space="preserve">The plan's first hires fall after month 12, so the 12-month chart is the two founders plus contractors (Forecast sheet hiring lines).</w:t>
      </w:r>
    </w:p>
    <w:bookmarkEnd w:id="81"/>
    <w:bookmarkStart w:id="82" w:name="role-descriptions"/>
    <w:p>
      <w:pPr>
        <w:pStyle w:val="Heading2"/>
      </w:pPr>
      <w:r>
        <w:t xml:space="preserve">2. Role descriptions</w:t>
      </w:r>
    </w:p>
    <w:tbl>
      <w:tblPr>
        <w:tblStyle w:val="Table"/>
        <w:tblW w:type="pct" w:w="5000"/>
        <w:tblLook w:firstRow="1" w:lastRow="0" w:firstColumn="0" w:lastColumn="0" w:noHBand="0" w:noVBand="0" w:val="0020"/>
        <w:jc w:val="start"/>
      </w:tblPr>
      <w:tblGrid>
        <w:gridCol w:w="1900"/>
        <w:gridCol w:w="3168"/>
        <w:gridCol w:w="2851"/>
      </w:tblGrid>
      <w:tr>
        <w:trPr>
          <w:tblHeader w:val="true"/>
        </w:trPr>
        <w:tc>
          <w:tcPr/>
          <w:p>
            <w:pPr>
              <w:pStyle w:val="Compact"/>
              <w:jc w:val="left"/>
            </w:pPr>
            <w:r>
              <w:t xml:space="preserve">Role</w:t>
            </w:r>
          </w:p>
        </w:tc>
        <w:tc>
          <w:tcPr/>
          <w:p>
            <w:pPr>
              <w:pStyle w:val="Compact"/>
              <w:jc w:val="left"/>
            </w:pPr>
            <w:r>
              <w:t xml:space="preserve">Responsibilities</w:t>
            </w:r>
          </w:p>
        </w:tc>
        <w:tc>
          <w:tcPr/>
          <w:p>
            <w:pPr>
              <w:pStyle w:val="Compact"/>
              <w:jc w:val="left"/>
            </w:pPr>
            <w:r>
              <w:t xml:space="preserve">What good looks like</w:t>
            </w:r>
          </w:p>
        </w:tc>
      </w:tr>
      <w:tr>
        <w:tc>
          <w:tcPr/>
          <w:p>
            <w:pPr>
              <w:pStyle w:val="Compact"/>
              <w:jc w:val="left"/>
            </w:pPr>
            <w:r>
              <w:t xml:space="preserve">Clinic-network sales lead (M19)</w:t>
            </w:r>
          </w:p>
        </w:tc>
        <w:tc>
          <w:tcPr/>
          <w:p>
            <w:pPr>
              <w:pStyle w:val="Compact"/>
              <w:jc w:val="left"/>
            </w:pPr>
            <w:r>
              <w:t xml:space="preserve">Sign and support neurology and OT clinics; run in-clinic trials; manage clinic margin terms</w:t>
            </w:r>
          </w:p>
        </w:tc>
        <w:tc>
          <w:tcPr/>
          <w:p>
            <w:pPr>
              <w:pStyle w:val="Compact"/>
              <w:jc w:val="left"/>
            </w:pPr>
            <w:r>
              <w:t xml:space="preserve">30 active clinics by M30; ≥4 TremoSense sales per clinic per month; CAC ≤ ₹1,079</w:t>
            </w:r>
          </w:p>
        </w:tc>
      </w:tr>
      <w:tr>
        <w:tc>
          <w:tcPr/>
          <w:p>
            <w:pPr>
              <w:pStyle w:val="Compact"/>
              <w:jc w:val="left"/>
            </w:pPr>
            <w:r>
              <w:t xml:space="preserve">Customer support &amp; operations (M19)</w:t>
            </w:r>
          </w:p>
        </w:tc>
        <w:tc>
          <w:tcPr/>
          <w:p>
            <w:pPr>
              <w:pStyle w:val="Compact"/>
              <w:jc w:val="left"/>
            </w:pPr>
            <w:r>
              <w:t xml:space="preserve">Onboarding calls, 7-day check-ins, returns, dispatch, stock</w:t>
            </w:r>
          </w:p>
        </w:tc>
        <w:tc>
          <w:tcPr/>
          <w:p>
            <w:pPr>
              <w:pStyle w:val="Compact"/>
              <w:jc w:val="left"/>
            </w:pPr>
            <w:r>
              <w:t xml:space="preserve">Onboarding within 48 h; ≥70% daily use at day 30; return rate &lt;5%</w:t>
            </w:r>
          </w:p>
        </w:tc>
      </w:tr>
      <w:tr>
        <w:tc>
          <w:tcPr/>
          <w:p>
            <w:pPr>
              <w:pStyle w:val="Compact"/>
              <w:jc w:val="left"/>
            </w:pPr>
            <w:r>
              <w:t xml:space="preserve">App &amp; firmware engineer (M25)</w:t>
            </w:r>
          </w:p>
        </w:tc>
        <w:tc>
          <w:tcPr/>
          <w:p>
            <w:pPr>
              <w:pStyle w:val="Compact"/>
              <w:jc w:val="left"/>
            </w:pPr>
            <w:r>
              <w:t xml:space="preserve">ParkinSense mobile app, BLE firmware, cloud sync</w:t>
            </w:r>
          </w:p>
        </w:tc>
        <w:tc>
          <w:tcPr/>
          <w:p>
            <w:pPr>
              <w:pStyle w:val="Compact"/>
              <w:jc w:val="left"/>
            </w:pPr>
            <w:r>
              <w:t xml:space="preserve">App store release by M27; crash-free sessions ≥99%; no data-privacy incidents</w:t>
            </w:r>
          </w:p>
        </w:tc>
      </w:tr>
    </w:tbl>
    <w:bookmarkEnd w:id="82"/>
    <w:bookmarkStart w:id="83" w:name="Xda9475f7e5694d864baf7299bb18b46eafa9bc8"/>
    <w:p>
      <w:pPr>
        <w:pStyle w:val="Heading2"/>
      </w:pPr>
      <w:r>
        <w:t xml:space="preserve">3. Structured mock-interview guide (same questions for every candidate)</w:t>
      </w:r>
    </w:p>
    <w:p>
      <w:pPr>
        <w:numPr>
          <w:ilvl w:val="0"/>
          <w:numId w:val="1006"/>
        </w:numPr>
        <w:pStyle w:val="Compact"/>
      </w:pPr>
      <w:r>
        <w:t xml:space="preserve">Tell me about a time you got a clinician or institution to adopt something new. What exactly did you do?</w:t>
      </w:r>
    </w:p>
    <w:p>
      <w:pPr>
        <w:numPr>
          <w:ilvl w:val="0"/>
          <w:numId w:val="1006"/>
        </w:numPr>
        <w:pStyle w:val="Compact"/>
      </w:pPr>
      <w:r>
        <w:t xml:space="preserve">Walk me through how you tracked a sales pipeline last time. What numbers did you watch?</w:t>
      </w:r>
    </w:p>
    <w:p>
      <w:pPr>
        <w:numPr>
          <w:ilvl w:val="0"/>
          <w:numId w:val="1006"/>
        </w:numPr>
        <w:pStyle w:val="Compact"/>
      </w:pPr>
      <w:r>
        <w:t xml:space="preserve">Describe a deal you lost. What did you learn?</w:t>
      </w:r>
    </w:p>
    <w:p>
      <w:pPr>
        <w:numPr>
          <w:ilvl w:val="0"/>
          <w:numId w:val="1006"/>
        </w:numPr>
        <w:pStyle w:val="Compact"/>
      </w:pPr>
      <w:r>
        <w:t xml:space="preserve">A caregiver says the device isn't helping after a week. What do you do in the first call?</w:t>
      </w:r>
    </w:p>
    <w:p>
      <w:pPr>
        <w:numPr>
          <w:ilvl w:val="0"/>
          <w:numId w:val="1006"/>
        </w:numPr>
        <w:pStyle w:val="Compact"/>
      </w:pPr>
      <w:r>
        <w:t xml:space="preserve">Score: 1–5 on evidence of past behaviour, clarity, customer empathy, numeracy.</w:t>
      </w:r>
    </w:p>
    <w:tbl>
      <w:tblPr>
        <w:tblStyle w:val="Table"/>
        <w:tblW w:type="pct" w:w="5000"/>
        <w:tblLook w:firstRow="1" w:lastRow="0" w:firstColumn="0" w:lastColumn="0" w:noHBand="0" w:noVBand="0" w:val="0020"/>
        <w:jc w:val="start"/>
      </w:tblPr>
      <w:tblGrid>
        <w:gridCol w:w="1425"/>
        <w:gridCol w:w="792"/>
        <w:gridCol w:w="554"/>
        <w:gridCol w:w="554"/>
        <w:gridCol w:w="554"/>
        <w:gridCol w:w="554"/>
        <w:gridCol w:w="792"/>
        <w:gridCol w:w="2692"/>
      </w:tblGrid>
      <w:tr>
        <w:trPr>
          <w:tblHeader w:val="true"/>
        </w:trPr>
        <w:tc>
          <w:tcPr/>
          <w:p>
            <w:pPr>
              <w:pStyle w:val="Compact"/>
              <w:jc w:val="left"/>
            </w:pPr>
            <w:r>
              <w:t xml:space="preserve">Interviewer (classmate)</w:t>
            </w:r>
          </w:p>
        </w:tc>
        <w:tc>
          <w:tcPr/>
          <w:p>
            <w:pPr>
              <w:pStyle w:val="Compact"/>
              <w:jc w:val="left"/>
            </w:pPr>
            <w:r>
              <w:t xml:space="preserve">Date</w:t>
            </w:r>
          </w:p>
        </w:tc>
        <w:tc>
          <w:tcPr/>
          <w:p>
            <w:pPr>
              <w:pStyle w:val="Compact"/>
              <w:jc w:val="left"/>
            </w:pPr>
            <w:r>
              <w:t xml:space="preserve">Q1</w:t>
            </w:r>
          </w:p>
        </w:tc>
        <w:tc>
          <w:tcPr/>
          <w:p>
            <w:pPr>
              <w:pStyle w:val="Compact"/>
              <w:jc w:val="left"/>
            </w:pPr>
            <w:r>
              <w:t xml:space="preserve">Q2</w:t>
            </w:r>
          </w:p>
        </w:tc>
        <w:tc>
          <w:tcPr/>
          <w:p>
            <w:pPr>
              <w:pStyle w:val="Compact"/>
              <w:jc w:val="left"/>
            </w:pPr>
            <w:r>
              <w:t xml:space="preserve">Q3</w:t>
            </w:r>
          </w:p>
        </w:tc>
        <w:tc>
          <w:tcPr/>
          <w:p>
            <w:pPr>
              <w:pStyle w:val="Compact"/>
              <w:jc w:val="left"/>
            </w:pPr>
            <w:r>
              <w:t xml:space="preserve">Q4</w:t>
            </w:r>
          </w:p>
        </w:tc>
        <w:tc>
          <w:tcPr/>
          <w:p>
            <w:pPr>
              <w:pStyle w:val="Compact"/>
              <w:jc w:val="left"/>
            </w:pPr>
            <w:r>
              <w:t xml:space="preserve">Total /20</w:t>
            </w:r>
          </w:p>
        </w:tc>
        <w:tc>
          <w:tcPr/>
          <w:p>
            <w:pPr>
              <w:pStyle w:val="Compact"/>
              <w:jc w:val="left"/>
            </w:pPr>
            <w:r>
              <w:t xml:space="preserve">Notes</w:t>
            </w:r>
          </w:p>
        </w:tc>
      </w:tr>
      <w:tr>
        <w:tc>
          <w:tcPr/>
          <w:p>
            <w:pPr>
              <w:pStyle w:val="Compact"/>
              <w:jc w:val="left"/>
            </w:pPr>
            <w:r>
              <w:t xml:space="preserve">Classmate A as candidate for clinic sales lead (simulated record)</w:t>
            </w:r>
          </w:p>
        </w:tc>
        <w:tc>
          <w:tcPr/>
          <w:p>
            <w:pPr>
              <w:pStyle w:val="Compact"/>
              <w:jc w:val="left"/>
            </w:pPr>
            <w:r>
              <w:t xml:space="preserve">3 Oct 2026</w:t>
            </w:r>
          </w:p>
        </w:tc>
        <w:tc>
          <w:tcPr/>
          <w:p>
            <w:pPr>
              <w:pStyle w:val="Compact"/>
              <w:jc w:val="left"/>
            </w:pPr>
            <w:r>
              <w:t xml:space="preserve">4</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c>
          <w:tcPr/>
          <w:p>
            <w:pPr>
              <w:pStyle w:val="Compact"/>
              <w:jc w:val="left"/>
            </w:pPr>
            <w:r>
              <w:t xml:space="preserve">16</w:t>
            </w:r>
          </w:p>
        </w:tc>
        <w:tc>
          <w:tcPr/>
          <w:p>
            <w:pPr>
              <w:pStyle w:val="Compact"/>
              <w:jc w:val="left"/>
            </w:pPr>
            <w:r>
              <w:t xml:space="preserve">Strong empathy and concrete examples; weaker on pipeline numbers</w:t>
            </w:r>
          </w:p>
        </w:tc>
      </w:tr>
    </w:tbl>
    <w:p>
      <w:pPr>
        <w:pStyle w:val="BodyText"/>
      </w:pPr>
      <w:r>
        <w:t xml:space="preserve">Mock-interview record above is simulated; the class exercise uses the same four questions and scoring sheet.</w:t>
      </w:r>
    </w:p>
    <w:bookmarkEnd w:id="83"/>
    <w:bookmarkStart w:id="84" w:name="founder-equity-split-method"/>
    <w:p>
      <w:pPr>
        <w:pStyle w:val="Heading2"/>
      </w:pPr>
      <w:r>
        <w:t xml:space="preserve">4. Founder equity-split method</w:t>
      </w:r>
    </w:p>
    <w:tbl>
      <w:tblPr>
        <w:tblStyle w:val="Table"/>
        <w:tblW w:type="pct" w:w="5000"/>
        <w:tblLook w:firstRow="1" w:lastRow="0" w:firstColumn="0" w:lastColumn="0" w:noHBand="0" w:noVBand="0" w:val="0020"/>
        <w:jc w:val="start"/>
      </w:tblPr>
      <w:tblGrid>
        <w:gridCol w:w="2692"/>
        <w:gridCol w:w="1267"/>
        <w:gridCol w:w="1267"/>
        <w:gridCol w:w="2692"/>
      </w:tblGrid>
      <w:tr>
        <w:trPr>
          <w:tblHeader w:val="true"/>
        </w:trPr>
        <w:tc>
          <w:tcPr/>
          <w:p>
            <w:pPr>
              <w:pStyle w:val="Compact"/>
              <w:jc w:val="left"/>
            </w:pPr>
            <w:r>
              <w:t xml:space="preserve">Factor (weight)</w:t>
            </w:r>
          </w:p>
        </w:tc>
        <w:tc>
          <w:tcPr/>
          <w:p>
            <w:pPr>
              <w:pStyle w:val="Compact"/>
              <w:jc w:val="left"/>
            </w:pPr>
            <w:r>
              <w:t xml:space="preserve">Pranshu (1–10)</w:t>
            </w:r>
          </w:p>
        </w:tc>
        <w:tc>
          <w:tcPr/>
          <w:p>
            <w:pPr>
              <w:pStyle w:val="Compact"/>
              <w:jc w:val="left"/>
            </w:pPr>
            <w:r>
              <w:t xml:space="preserve">Pawan (1–10)</w:t>
            </w:r>
          </w:p>
        </w:tc>
        <w:tc>
          <w:tcPr/>
          <w:p>
            <w:pPr>
              <w:pStyle w:val="Compact"/>
              <w:jc w:val="left"/>
            </w:pPr>
            <w:r>
              <w:t xml:space="preserve">Weighted P / W</w:t>
            </w:r>
          </w:p>
        </w:tc>
      </w:tr>
      <w:tr>
        <w:tc>
          <w:tcPr/>
          <w:p>
            <w:pPr>
              <w:pStyle w:val="Compact"/>
              <w:jc w:val="left"/>
            </w:pPr>
            <w:r>
              <w:t xml:space="preserve">Idea and IP (25%)</w:t>
            </w:r>
          </w:p>
        </w:tc>
        <w:tc>
          <w:tcPr/>
          <w:p>
            <w:pPr>
              <w:pStyle w:val="Compact"/>
              <w:jc w:val="left"/>
            </w:pPr>
            <w:r>
              <w:t xml:space="preserve">8</w:t>
            </w:r>
          </w:p>
        </w:tc>
        <w:tc>
          <w:tcPr/>
          <w:p>
            <w:pPr>
              <w:pStyle w:val="Compact"/>
              <w:jc w:val="left"/>
            </w:pPr>
            <w:r>
              <w:t xml:space="preserve">7</w:t>
            </w:r>
          </w:p>
        </w:tc>
        <w:tc>
          <w:tcPr/>
          <w:p>
            <w:pPr>
              <w:pStyle w:val="Compact"/>
              <w:jc w:val="left"/>
            </w:pPr>
            <w:r>
              <w:t xml:space="preserve">2.00 / 1.75</w:t>
            </w:r>
          </w:p>
        </w:tc>
      </w:tr>
      <w:tr>
        <w:tc>
          <w:tcPr/>
          <w:p>
            <w:pPr>
              <w:pStyle w:val="Compact"/>
              <w:jc w:val="left"/>
            </w:pPr>
            <w:r>
              <w:t xml:space="preserve">Capital contributed (15%)</w:t>
            </w:r>
          </w:p>
        </w:tc>
        <w:tc>
          <w:tcPr/>
          <w:p>
            <w:pPr>
              <w:pStyle w:val="Compact"/>
              <w:jc w:val="left"/>
            </w:pPr>
            <w:r>
              <w:t xml:space="preserve">5</w:t>
            </w:r>
          </w:p>
        </w:tc>
        <w:tc>
          <w:tcPr/>
          <w:p>
            <w:pPr>
              <w:pStyle w:val="Compact"/>
              <w:jc w:val="left"/>
            </w:pPr>
            <w:r>
              <w:t xml:space="preserve">5</w:t>
            </w:r>
          </w:p>
        </w:tc>
        <w:tc>
          <w:tcPr/>
          <w:p>
            <w:pPr>
              <w:pStyle w:val="Compact"/>
              <w:jc w:val="left"/>
            </w:pPr>
            <w:r>
              <w:t xml:space="preserve">0.75 / 0.75</w:t>
            </w:r>
          </w:p>
        </w:tc>
      </w:tr>
      <w:tr>
        <w:tc>
          <w:tcPr/>
          <w:p>
            <w:pPr>
              <w:pStyle w:val="Compact"/>
              <w:jc w:val="left"/>
            </w:pPr>
            <w:r>
              <w:t xml:space="preserve">Full-time commitment (35%)</w:t>
            </w:r>
          </w:p>
        </w:tc>
        <w:tc>
          <w:tcPr/>
          <w:p>
            <w:pPr>
              <w:pStyle w:val="Compact"/>
              <w:jc w:val="left"/>
            </w:pPr>
            <w:r>
              <w:t xml:space="preserve">9</w:t>
            </w:r>
          </w:p>
        </w:tc>
        <w:tc>
          <w:tcPr/>
          <w:p>
            <w:pPr>
              <w:pStyle w:val="Compact"/>
              <w:jc w:val="left"/>
            </w:pPr>
            <w:r>
              <w:t xml:space="preserve">9</w:t>
            </w:r>
          </w:p>
        </w:tc>
        <w:tc>
          <w:tcPr/>
          <w:p>
            <w:pPr>
              <w:pStyle w:val="Compact"/>
              <w:jc w:val="left"/>
            </w:pPr>
            <w:r>
              <w:t xml:space="preserve">3.15 / 3.15</w:t>
            </w:r>
          </w:p>
        </w:tc>
      </w:tr>
      <w:tr>
        <w:tc>
          <w:tcPr/>
          <w:p>
            <w:pPr>
              <w:pStyle w:val="Compact"/>
              <w:jc w:val="left"/>
            </w:pPr>
            <w:r>
              <w:t xml:space="preserve">Prior expertise (25%)</w:t>
            </w:r>
          </w:p>
        </w:tc>
        <w:tc>
          <w:tcPr/>
          <w:p>
            <w:pPr>
              <w:pStyle w:val="Compact"/>
              <w:jc w:val="left"/>
            </w:pPr>
            <w:r>
              <w:t xml:space="preserve">8</w:t>
            </w:r>
          </w:p>
        </w:tc>
        <w:tc>
          <w:tcPr/>
          <w:p>
            <w:pPr>
              <w:pStyle w:val="Compact"/>
              <w:jc w:val="left"/>
            </w:pPr>
            <w:r>
              <w:t xml:space="preserve">8</w:t>
            </w:r>
          </w:p>
        </w:tc>
        <w:tc>
          <w:tcPr/>
          <w:p>
            <w:pPr>
              <w:pStyle w:val="Compact"/>
              <w:jc w:val="left"/>
            </w:pPr>
            <w:r>
              <w:t xml:space="preserve">2.00 / 2.00</w:t>
            </w:r>
          </w:p>
        </w:tc>
      </w:tr>
      <w:tr>
        <w:tc>
          <w:tcPr/>
          <w:p>
            <w:pPr>
              <w:pStyle w:val="Compact"/>
              <w:jc w:val="left"/>
            </w:pPr>
            <w:r>
              <w:rPr>
                <w:bCs/>
                <w:b/>
              </w:rPr>
              <w:t xml:space="preserve">Total</w:t>
            </w:r>
          </w:p>
        </w:tc>
        <w:tc>
          <w:tcPr/>
          <w:p>
            <w:pPr>
              <w:pStyle w:val="Compact"/>
            </w:pPr>
          </w:p>
        </w:tc>
        <w:tc>
          <w:tcPr/>
          <w:p>
            <w:pPr>
              <w:pStyle w:val="Compact"/>
            </w:pPr>
          </w:p>
        </w:tc>
        <w:tc>
          <w:tcPr/>
          <w:p>
            <w:pPr>
              <w:pStyle w:val="Compact"/>
              <w:jc w:val="left"/>
            </w:pPr>
            <w:r>
              <w:rPr>
                <w:bCs/>
                <w:b/>
              </w:rPr>
              <w:t xml:space="preserve">7.90 / 7.65</w:t>
            </w:r>
          </w:p>
        </w:tc>
      </w:tr>
    </w:tbl>
    <w:p>
      <w:pPr>
        <w:pStyle w:val="BodyText"/>
      </w:pPr>
      <w:r>
        <w:t xml:space="preserve">Founder share = Σ(weight × score) for that founder ÷ Σ(weight × score) for both founders × 82.71% (founders' total after Round 1 with a 5% ESOP pool; Funding Scenarios sheet). Pranshu 7.90 ÷ 15.55 = 50.8% of founder equity → 42.02% after Round 1; Pawan 7.65 ÷ 15.55 = 49.2% → 40.69%. Vesting: 4 years, 1-year cliff, monthly thereafter.</w:t>
      </w:r>
    </w:p>
    <w:bookmarkEnd w:id="84"/>
    <w:bookmarkStart w:id="85" w:name="esop-pool-and-a-sample-grant"/>
    <w:p>
      <w:pPr>
        <w:pStyle w:val="Heading2"/>
      </w:pPr>
      <w:r>
        <w:t xml:space="preserve">5. ESOP pool and a sample grant</w:t>
      </w:r>
    </w:p>
    <w:p>
      <w:pPr>
        <w:pStyle w:val="FirstParagraph"/>
      </w:pPr>
      <w:r>
        <w:t xml:space="preserve">The model reserves a</w:t>
      </w:r>
      <w:r>
        <w:t xml:space="preserve"> </w:t>
      </w:r>
      <w:r>
        <w:rPr>
          <w:bCs/>
          <w:b/>
        </w:rPr>
        <w:t xml:space="preserve">5% ESOP pool</w:t>
      </w:r>
      <w:r>
        <w:t xml:space="preserve">, enough for the three planned hires (≈1–1.5% each) plus a reserve. The course suggests 10–15%; we keep 5% now to limit dilution in a small round and plan to top it up at tranche 2 when the team grows (flagged for the founders to decide).</w:t>
      </w:r>
    </w:p>
    <w:p>
      <w:pPr>
        <w:pStyle w:val="BodyText"/>
      </w:pPr>
      <w:r>
        <w:t xml:space="preserve">Sample grant: 0.5% × post-money ₹85,51,171 =</w:t>
      </w:r>
      <w:r>
        <w:t xml:space="preserve"> </w:t>
      </w:r>
      <w:r>
        <w:rPr>
          <w:bCs/>
          <w:b/>
        </w:rPr>
        <w:t xml:space="preserve">₹42,756</w:t>
      </w:r>
      <w:r>
        <w:t xml:space="preserve"> </w:t>
      </w:r>
      <w:r>
        <w:t xml:space="preserve">on paper at the proposed valuation (illustrative; not a market value).</w:t>
      </w:r>
    </w:p>
    <w:bookmarkEnd w:id="85"/>
    <w:bookmarkEnd w:id="86"/>
    <w:bookmarkStart w:id="91" w:name="M4.2"/>
    <w:p>
      <w:pPr>
        <w:pStyle w:val="BodyText"/>
      </w:pPr>
      <w:r>
        <w:t xml:space="preserve">M4 · Activity 2 · Mandatory Model M4.2</w:t>
      </w:r>
    </w:p>
    <w:bookmarkStart w:id="87" w:name="growth-engine-dashboard"/>
    <w:p>
      <w:pPr>
        <w:pStyle w:val="Heading1"/>
      </w:pPr>
      <w:r>
        <w:t xml:space="preserve">Growth-Engine Dashboard</w:t>
      </w:r>
    </w:p>
    <w:tbl>
      <w:tblPr>
        <w:tblStyle w:val="Table"/>
        <w:tblW w:type="auto" w:w="0"/>
        <w:tblLook w:firstRow="0" w:lastRow="0" w:firstColumn="0" w:lastColumn="0" w:noHBand="0" w:noVBand="0" w:val="0000"/>
        <w:jc w:val="start"/>
      </w:tblPr>
      <w:tblGrid>
        <w:gridCol w:w="1980"/>
        <w:gridCol w:w="1980"/>
        <w:gridCol w:w="1980"/>
        <w:gridCol w:w="1980"/>
      </w:tblGrid>
      <w:tr>
        <w:tc>
          <w:tcPr/>
          <w:p>
            <w:pPr>
              <w:pStyle w:val="Compact"/>
              <w:jc w:val="left"/>
            </w:pPr>
            <w:r>
              <w:rPr>
                <w:bCs/>
                <w:b/>
              </w:rPr>
              <w:t xml:space="preserve">Module</w:t>
            </w:r>
            <w:r>
              <w:t xml:space="preserve"> </w:t>
            </w:r>
            <w:r>
              <w:t xml:space="preserve">4</w:t>
            </w:r>
          </w:p>
        </w:tc>
        <w:tc>
          <w:tcPr/>
          <w:p>
            <w:pPr>
              <w:pStyle w:val="Compact"/>
              <w:jc w:val="left"/>
            </w:pPr>
            <w:r>
              <w:rPr>
                <w:bCs/>
                <w:b/>
              </w:rPr>
              <w:t xml:space="preserve">Activity</w:t>
            </w:r>
            <w:r>
              <w:t xml:space="preserve"> </w:t>
            </w:r>
            <w:r>
              <w:t xml:space="preserve">2</w:t>
            </w:r>
          </w:p>
        </w:tc>
        <w:tc>
          <w:tcPr/>
          <w:p>
            <w:pPr>
              <w:pStyle w:val="Compact"/>
              <w:jc w:val="left"/>
            </w:pPr>
            <w:r>
              <w:rPr>
                <w:bCs/>
                <w:b/>
              </w:rPr>
              <w:t xml:space="preserve">Date completed</w:t>
            </w:r>
            <w:r>
              <w:t xml:space="preserve"> </w:t>
            </w:r>
            <w:r>
              <w:t xml:space="preserve">7 Oct 2026</w:t>
            </w:r>
          </w:p>
        </w:tc>
        <w:tc>
          <w:tcPr/>
          <w:p>
            <w:pPr>
              <w:pStyle w:val="Compact"/>
              <w:jc w:val="left"/>
            </w:pPr>
            <w:r>
              <w:rPr>
                <w:bCs/>
                <w:b/>
              </w:rPr>
              <w:t xml:space="preserve">Venture</w:t>
            </w:r>
            <w:r>
              <w:t xml:space="preserve"> </w:t>
            </w:r>
            <w:r>
              <w:t xml:space="preserve">AVERRA</w:t>
            </w:r>
          </w:p>
        </w:tc>
      </w:tr>
      <w:tr>
        <w:tc>
          <w:tcPr>
            <w:gridSpan w:val="4"/>
          </w:tcPr>
          <w:p>
            <w:pPr>
              <w:pStyle w:val="Compact"/>
              <w:jc w:val="left"/>
            </w:pPr>
            <w:r>
              <w:rPr>
                <w:bCs/>
                <w:b/>
              </w:rPr>
              <w:t xml:space="preserve">Evidence status:</w:t>
            </w:r>
            <w:r>
              <w:t xml:space="preserve"> </w:t>
            </w:r>
            <w:r>
              <w:t xml:space="preserve">Completed · simulated campaign data</w:t>
            </w:r>
          </w:p>
        </w:tc>
      </w:tr>
      <w:tr>
        <w:tc>
          <w:tcPr>
            <w:gridSpan w:val="4"/>
          </w:tcPr>
          <w:p>
            <w:pPr>
              <w:pStyle w:val="Compact"/>
              <w:jc w:val="left"/>
            </w:pPr>
            <w:r>
              <w:t xml:space="preserve">Data note: Campaign, funnel and cohort figures are simulated; ICE scores are the founders' judgement.</w:t>
            </w:r>
          </w:p>
        </w:tc>
      </w:tr>
    </w:tbl>
    <w:bookmarkEnd w:id="87"/>
    <w:p>
      <w:pPr>
        <w:pStyle w:val="BodyText"/>
      </w:pPr>
      <w:r>
        <w:t xml:space="preserve">Simulated semester data: one ₹500 paid boost and one organic post (September 2026), and ParkinSense prototype-beta cohorts (July–September 2026).</w:t>
      </w:r>
    </w:p>
    <w:bookmarkStart w:id="88" w:name="campaign-tracker"/>
    <w:p>
      <w:pPr>
        <w:pStyle w:val="Heading2"/>
      </w:pPr>
      <w:r>
        <w:t xml:space="preserve">1. Campaign tracker</w:t>
      </w:r>
    </w:p>
    <w:tbl>
      <w:tblPr>
        <w:tblStyle w:val="Table"/>
        <w:tblW w:type="pct" w:w="5000"/>
        <w:tblLook w:firstRow="1" w:lastRow="0" w:firstColumn="0" w:lastColumn="0" w:noHBand="0" w:noVBand="0" w:val="0020"/>
        <w:jc w:val="start"/>
      </w:tblPr>
      <w:tblGrid>
        <w:gridCol w:w="1742"/>
        <w:gridCol w:w="633"/>
        <w:gridCol w:w="633"/>
        <w:gridCol w:w="792"/>
        <w:gridCol w:w="792"/>
        <w:gridCol w:w="1108"/>
        <w:gridCol w:w="950"/>
        <w:gridCol w:w="1267"/>
      </w:tblGrid>
      <w:tr>
        <w:trPr>
          <w:tblHeader w:val="true"/>
        </w:trPr>
        <w:tc>
          <w:tcPr/>
          <w:p>
            <w:pPr>
              <w:pStyle w:val="Compact"/>
              <w:jc w:val="left"/>
            </w:pPr>
            <w:r>
              <w:t xml:space="preserve">Channel</w:t>
            </w:r>
          </w:p>
        </w:tc>
        <w:tc>
          <w:tcPr/>
          <w:p>
            <w:pPr>
              <w:pStyle w:val="Compact"/>
              <w:jc w:val="left"/>
            </w:pPr>
            <w:r>
              <w:t xml:space="preserve">Spend ₹</w:t>
            </w:r>
          </w:p>
        </w:tc>
        <w:tc>
          <w:tcPr/>
          <w:p>
            <w:pPr>
              <w:pStyle w:val="Compact"/>
              <w:jc w:val="left"/>
            </w:pPr>
            <w:r>
              <w:t xml:space="preserve">Reach</w:t>
            </w:r>
          </w:p>
        </w:tc>
        <w:tc>
          <w:tcPr/>
          <w:p>
            <w:pPr>
              <w:pStyle w:val="Compact"/>
              <w:jc w:val="left"/>
            </w:pPr>
            <w:r>
              <w:t xml:space="preserve">Clicks</w:t>
            </w:r>
          </w:p>
        </w:tc>
        <w:tc>
          <w:tcPr/>
          <w:p>
            <w:pPr>
              <w:pStyle w:val="Compact"/>
              <w:jc w:val="left"/>
            </w:pPr>
            <w:r>
              <w:t xml:space="preserve">Enquiries</w:t>
            </w:r>
          </w:p>
        </w:tc>
        <w:tc>
          <w:tcPr/>
          <w:p>
            <w:pPr>
              <w:pStyle w:val="Compact"/>
              <w:jc w:val="left"/>
            </w:pPr>
            <w:r>
              <w:t xml:space="preserve">Conversions</w:t>
            </w:r>
          </w:p>
        </w:tc>
        <w:tc>
          <w:tcPr/>
          <w:p>
            <w:pPr>
              <w:pStyle w:val="Compact"/>
              <w:jc w:val="left"/>
            </w:pPr>
            <w:r>
              <w:t xml:space="preserve">CAC</w:t>
            </w:r>
          </w:p>
        </w:tc>
        <w:tc>
          <w:tcPr/>
          <w:p>
            <w:pPr>
              <w:pStyle w:val="Compact"/>
              <w:jc w:val="left"/>
            </w:pPr>
            <w:r>
              <w:t xml:space="preserve">ROAS</w:t>
            </w:r>
          </w:p>
        </w:tc>
      </w:tr>
      <w:tr>
        <w:tc>
          <w:tcPr/>
          <w:p>
            <w:pPr>
              <w:pStyle w:val="Compact"/>
              <w:jc w:val="left"/>
            </w:pPr>
            <w:r>
              <w:t xml:space="preserve">Instagram boost of the bench video (Mumbai + Pune, 25–65)</w:t>
            </w:r>
          </w:p>
        </w:tc>
        <w:tc>
          <w:tcPr/>
          <w:p>
            <w:pPr>
              <w:pStyle w:val="Compact"/>
              <w:jc w:val="left"/>
            </w:pPr>
            <w:r>
              <w:t xml:space="preserve">₹500</w:t>
            </w:r>
          </w:p>
        </w:tc>
        <w:tc>
          <w:tcPr/>
          <w:p>
            <w:pPr>
              <w:pStyle w:val="Compact"/>
              <w:jc w:val="left"/>
            </w:pPr>
            <w:r>
              <w:t xml:space="preserve">6,200</w:t>
            </w:r>
          </w:p>
        </w:tc>
        <w:tc>
          <w:tcPr/>
          <w:p>
            <w:pPr>
              <w:pStyle w:val="Compact"/>
              <w:jc w:val="left"/>
            </w:pPr>
            <w:r>
              <w:t xml:space="preserve">184 (3.0%)</w:t>
            </w:r>
          </w:p>
        </w:tc>
        <w:tc>
          <w:tcPr/>
          <w:p>
            <w:pPr>
              <w:pStyle w:val="Compact"/>
              <w:jc w:val="left"/>
            </w:pPr>
            <w:r>
              <w:t xml:space="preserve">23</w:t>
            </w:r>
          </w:p>
        </w:tc>
        <w:tc>
          <w:tcPr/>
          <w:p>
            <w:pPr>
              <w:pStyle w:val="Compact"/>
              <w:jc w:val="left"/>
            </w:pPr>
            <w:r>
              <w:t xml:space="preserve">3 refundable deposits</w:t>
            </w:r>
          </w:p>
        </w:tc>
        <w:tc>
          <w:tcPr/>
          <w:p>
            <w:pPr>
              <w:pStyle w:val="Compact"/>
              <w:jc w:val="left"/>
            </w:pPr>
            <w:r>
              <w:t xml:space="preserve">₹500 ÷ 3 = ₹167</w:t>
            </w:r>
          </w:p>
        </w:tc>
        <w:tc>
          <w:tcPr/>
          <w:p>
            <w:pPr>
              <w:pStyle w:val="Compact"/>
              <w:jc w:val="left"/>
            </w:pPr>
            <w:r>
              <w:t xml:space="preserve">₹3,000 ÷ ₹500 = 6.0× (upper bound; deposits are refundable)</w:t>
            </w:r>
          </w:p>
        </w:tc>
      </w:tr>
      <w:tr>
        <w:tc>
          <w:tcPr/>
          <w:p>
            <w:pPr>
              <w:pStyle w:val="Compact"/>
              <w:jc w:val="left"/>
            </w:pPr>
            <w:r>
              <w:t xml:space="preserve">Support-group WhatsApp post (organic)</w:t>
            </w:r>
          </w:p>
        </w:tc>
        <w:tc>
          <w:tcPr/>
          <w:p>
            <w:pPr>
              <w:pStyle w:val="Compact"/>
              <w:jc w:val="left"/>
            </w:pPr>
            <w:r>
              <w:t xml:space="preserve">₹0</w:t>
            </w:r>
          </w:p>
        </w:tc>
        <w:tc>
          <w:tcPr/>
          <w:p>
            <w:pPr>
              <w:pStyle w:val="Compact"/>
              <w:jc w:val="left"/>
            </w:pPr>
            <w:r>
              <w:t xml:space="preserve">350</w:t>
            </w:r>
          </w:p>
        </w:tc>
        <w:tc>
          <w:tcPr/>
          <w:p>
            <w:pPr>
              <w:pStyle w:val="Compact"/>
              <w:jc w:val="left"/>
            </w:pPr>
            <w:r>
              <w:t xml:space="preserve">41</w:t>
            </w:r>
          </w:p>
        </w:tc>
        <w:tc>
          <w:tcPr/>
          <w:p>
            <w:pPr>
              <w:pStyle w:val="Compact"/>
              <w:jc w:val="left"/>
            </w:pPr>
            <w:r>
              <w:t xml:space="preserve">11</w:t>
            </w:r>
          </w:p>
        </w:tc>
        <w:tc>
          <w:tcPr/>
          <w:p>
            <w:pPr>
              <w:pStyle w:val="Compact"/>
              <w:jc w:val="left"/>
            </w:pPr>
            <w:r>
              <w:t xml:space="preserve">2 pilot sign-ups</w:t>
            </w:r>
          </w:p>
        </w:tc>
        <w:tc>
          <w:tcPr/>
          <w:p>
            <w:pPr>
              <w:pStyle w:val="Compact"/>
              <w:jc w:val="left"/>
            </w:pPr>
            <w:r>
              <w:t xml:space="preserve">₹0</w:t>
            </w:r>
          </w:p>
        </w:tc>
        <w:tc>
          <w:tcPr/>
          <w:p>
            <w:pPr>
              <w:pStyle w:val="Compact"/>
              <w:jc w:val="left"/>
            </w:pPr>
            <w:r>
              <w:t xml:space="preserve">—</w:t>
            </w:r>
          </w:p>
        </w:tc>
      </w:tr>
      <w:tr>
        <w:tc>
          <w:tcPr/>
          <w:p>
            <w:pPr>
              <w:pStyle w:val="Compact"/>
              <w:jc w:val="left"/>
            </w:pPr>
            <w:r>
              <w:rPr>
                <w:bCs/>
                <w:b/>
              </w:rPr>
              <w:t xml:space="preserve">Total</w:t>
            </w:r>
          </w:p>
        </w:tc>
        <w:tc>
          <w:tcPr/>
          <w:p>
            <w:pPr>
              <w:pStyle w:val="Compact"/>
              <w:jc w:val="left"/>
            </w:pPr>
            <w:r>
              <w:rPr>
                <w:bCs/>
                <w:b/>
              </w:rPr>
              <w:t xml:space="preserve">₹500</w:t>
            </w:r>
          </w:p>
        </w:tc>
        <w:tc>
          <w:tcPr/>
          <w:p>
            <w:pPr>
              <w:pStyle w:val="Compact"/>
              <w:jc w:val="left"/>
            </w:pPr>
            <w:r>
              <w:rPr>
                <w:bCs/>
                <w:b/>
              </w:rPr>
              <w:t xml:space="preserve">6,550</w:t>
            </w:r>
          </w:p>
        </w:tc>
        <w:tc>
          <w:tcPr/>
          <w:p>
            <w:pPr>
              <w:pStyle w:val="Compact"/>
              <w:jc w:val="left"/>
            </w:pPr>
            <w:r>
              <w:rPr>
                <w:bCs/>
                <w:b/>
              </w:rPr>
              <w:t xml:space="preserve">225</w:t>
            </w:r>
          </w:p>
        </w:tc>
        <w:tc>
          <w:tcPr/>
          <w:p>
            <w:pPr>
              <w:pStyle w:val="Compact"/>
              <w:jc w:val="left"/>
            </w:pPr>
            <w:r>
              <w:rPr>
                <w:bCs/>
                <w:b/>
              </w:rPr>
              <w:t xml:space="preserve">34</w:t>
            </w:r>
          </w:p>
        </w:tc>
        <w:tc>
          <w:tcPr/>
          <w:p>
            <w:pPr>
              <w:pStyle w:val="Compact"/>
              <w:jc w:val="left"/>
            </w:pPr>
            <w:r>
              <w:rPr>
                <w:bCs/>
                <w:b/>
              </w:rPr>
              <w:t xml:space="preserve">3 deposits · 5 pilot users</w:t>
            </w:r>
          </w:p>
        </w:tc>
        <w:tc>
          <w:tcPr/>
          <w:p>
            <w:pPr>
              <w:pStyle w:val="Compact"/>
              <w:jc w:val="left"/>
            </w:pPr>
            <w:r>
              <w:rPr>
                <w:bCs/>
                <w:b/>
              </w:rPr>
              <w:t xml:space="preserve">₹167 per deposit</w:t>
            </w:r>
          </w:p>
        </w:tc>
        <w:tc>
          <w:tcPr/>
          <w:p>
            <w:pPr>
              <w:pStyle w:val="Compact"/>
            </w:pPr>
          </w:p>
        </w:tc>
      </w:tr>
    </w:tbl>
    <w:p>
      <w:pPr>
        <w:pStyle w:val="BodyText"/>
      </w:pPr>
      <w:r>
        <w:t xml:space="preserve">The ₹167 campaign CAC is below the model's planned TremoSense CAC of ₹1,079, but it covers refundable deposits, not completed sales, so the model CAC is kept unchanged.</w:t>
      </w:r>
    </w:p>
    <w:bookmarkEnd w:id="88"/>
    <w:bookmarkStart w:id="89" w:name="cohort-retention"/>
    <w:p>
      <w:pPr>
        <w:pStyle w:val="Heading2"/>
      </w:pPr>
      <w:r>
        <w:t xml:space="preserve">2. Cohort retention</w:t>
      </w:r>
    </w:p>
    <w:tbl>
      <w:tblPr>
        <w:tblStyle w:val="Table"/>
        <w:tblW w:type="pct" w:w="5000"/>
        <w:tblLook w:firstRow="1" w:lastRow="0" w:firstColumn="0" w:lastColumn="0" w:noHBand="0" w:noVBand="0" w:val="0020"/>
        <w:jc w:val="start"/>
      </w:tblPr>
      <w:tblGrid>
        <w:gridCol w:w="2059"/>
        <w:gridCol w:w="950"/>
        <w:gridCol w:w="1584"/>
        <w:gridCol w:w="1742"/>
        <w:gridCol w:w="1584"/>
      </w:tblGrid>
      <w:tr>
        <w:trPr>
          <w:tblHeader w:val="true"/>
        </w:trPr>
        <w:tc>
          <w:tcPr/>
          <w:p>
            <w:pPr>
              <w:pStyle w:val="Compact"/>
              <w:jc w:val="left"/>
            </w:pPr>
            <w:r>
              <w:t xml:space="preserve">Cohort (joined)</w:t>
            </w:r>
          </w:p>
        </w:tc>
        <w:tc>
          <w:tcPr/>
          <w:p>
            <w:pPr>
              <w:pStyle w:val="Compact"/>
              <w:jc w:val="left"/>
            </w:pPr>
            <w:r>
              <w:t xml:space="preserve">Users</w:t>
            </w:r>
          </w:p>
        </w:tc>
        <w:tc>
          <w:tcPr/>
          <w:p>
            <w:pPr>
              <w:pStyle w:val="Compact"/>
              <w:jc w:val="left"/>
            </w:pPr>
            <w:r>
              <w:t xml:space="preserve">Active Month 1</w:t>
            </w:r>
          </w:p>
        </w:tc>
        <w:tc>
          <w:tcPr/>
          <w:p>
            <w:pPr>
              <w:pStyle w:val="Compact"/>
              <w:jc w:val="left"/>
            </w:pPr>
            <w:r>
              <w:t xml:space="preserve">Active Month 2</w:t>
            </w:r>
          </w:p>
        </w:tc>
        <w:tc>
          <w:tcPr/>
          <w:p>
            <w:pPr>
              <w:pStyle w:val="Compact"/>
              <w:jc w:val="left"/>
            </w:pPr>
            <w:r>
              <w:t xml:space="preserve">Active Month 3</w:t>
            </w:r>
          </w:p>
        </w:tc>
      </w:tr>
      <w:tr>
        <w:tc>
          <w:tcPr/>
          <w:p>
            <w:pPr>
              <w:pStyle w:val="Compact"/>
              <w:jc w:val="left"/>
            </w:pPr>
            <w:r>
              <w:t xml:space="preserve">Jul 2026 (prototype beta)</w:t>
            </w:r>
          </w:p>
        </w:tc>
        <w:tc>
          <w:tcPr/>
          <w:p>
            <w:pPr>
              <w:pStyle w:val="Compact"/>
              <w:jc w:val="left"/>
            </w:pPr>
            <w:r>
              <w:t xml:space="preserve">8</w:t>
            </w:r>
          </w:p>
        </w:tc>
        <w:tc>
          <w:tcPr/>
          <w:p>
            <w:pPr>
              <w:pStyle w:val="Compact"/>
              <w:jc w:val="left"/>
            </w:pPr>
            <w:r>
              <w:t xml:space="preserve">8 (100%)</w:t>
            </w:r>
          </w:p>
        </w:tc>
        <w:tc>
          <w:tcPr/>
          <w:p>
            <w:pPr>
              <w:pStyle w:val="Compact"/>
              <w:jc w:val="left"/>
            </w:pPr>
            <w:r>
              <w:t xml:space="preserve">6 (75%)</w:t>
            </w:r>
          </w:p>
        </w:tc>
        <w:tc>
          <w:tcPr/>
          <w:p>
            <w:pPr>
              <w:pStyle w:val="Compact"/>
              <w:jc w:val="left"/>
            </w:pPr>
            <w:r>
              <w:t xml:space="preserve">5 (63%)</w:t>
            </w:r>
          </w:p>
        </w:tc>
      </w:tr>
      <w:tr>
        <w:tc>
          <w:tcPr/>
          <w:p>
            <w:pPr>
              <w:pStyle w:val="Compact"/>
              <w:jc w:val="left"/>
            </w:pPr>
            <w:r>
              <w:t xml:space="preserve">Aug 2026</w:t>
            </w:r>
          </w:p>
        </w:tc>
        <w:tc>
          <w:tcPr/>
          <w:p>
            <w:pPr>
              <w:pStyle w:val="Compact"/>
              <w:jc w:val="left"/>
            </w:pPr>
            <w:r>
              <w:t xml:space="preserve">10</w:t>
            </w:r>
          </w:p>
        </w:tc>
        <w:tc>
          <w:tcPr/>
          <w:p>
            <w:pPr>
              <w:pStyle w:val="Compact"/>
              <w:jc w:val="left"/>
            </w:pPr>
            <w:r>
              <w:t xml:space="preserve">10 (100%)</w:t>
            </w:r>
          </w:p>
        </w:tc>
        <w:tc>
          <w:tcPr/>
          <w:p>
            <w:pPr>
              <w:pStyle w:val="Compact"/>
              <w:jc w:val="left"/>
            </w:pPr>
            <w:r>
              <w:t xml:space="preserve">8 (80%)</w:t>
            </w:r>
          </w:p>
        </w:tc>
        <w:tc>
          <w:tcPr/>
          <w:p>
            <w:pPr>
              <w:pStyle w:val="Compact"/>
              <w:jc w:val="left"/>
            </w:pPr>
            <w:r>
              <w:t xml:space="preserve">7 (70%, Oct to date)</w:t>
            </w:r>
          </w:p>
        </w:tc>
      </w:tr>
      <w:tr>
        <w:tc>
          <w:tcPr/>
          <w:p>
            <w:pPr>
              <w:pStyle w:val="Compact"/>
              <w:jc w:val="left"/>
            </w:pPr>
            <w:r>
              <w:t xml:space="preserve">Sep 2026</w:t>
            </w:r>
          </w:p>
        </w:tc>
        <w:tc>
          <w:tcPr/>
          <w:p>
            <w:pPr>
              <w:pStyle w:val="Compact"/>
              <w:jc w:val="left"/>
            </w:pPr>
            <w:r>
              <w:t xml:space="preserve">12</w:t>
            </w:r>
          </w:p>
        </w:tc>
        <w:tc>
          <w:tcPr/>
          <w:p>
            <w:pPr>
              <w:pStyle w:val="Compact"/>
              <w:jc w:val="left"/>
            </w:pPr>
            <w:r>
              <w:t xml:space="preserve">12 (100%)</w:t>
            </w:r>
          </w:p>
        </w:tc>
        <w:tc>
          <w:tcPr/>
          <w:p>
            <w:pPr>
              <w:pStyle w:val="Compact"/>
              <w:jc w:val="left"/>
            </w:pPr>
            <w:r>
              <w:t xml:space="preserve">9 (75%, Oct to date)</w:t>
            </w:r>
          </w:p>
        </w:tc>
        <w:tc>
          <w:tcPr/>
          <w:p>
            <w:pPr>
              <w:pStyle w:val="Compact"/>
              <w:jc w:val="left"/>
            </w:pPr>
            <w:r>
              <w:t xml:space="preserve">—</w:t>
            </w:r>
          </w:p>
        </w:tc>
      </w:tr>
    </w:tbl>
    <w:bookmarkEnd w:id="89"/>
    <w:bookmarkStart w:id="90" w:name="Xd3dc31accf55b8a48e8b526f52769595f558dda"/>
    <w:p>
      <w:pPr>
        <w:pStyle w:val="Heading2"/>
      </w:pPr>
      <w:r>
        <w:t xml:space="preserve">3. Growth experiment backlog, ICE-scored (scores are the founders' current judgement)</w:t>
      </w:r>
    </w:p>
    <w:tbl>
      <w:tblPr>
        <w:tblStyle w:val="Table"/>
        <w:tblW w:type="pct" w:w="5000"/>
        <w:tblLook w:firstRow="1" w:lastRow="0" w:firstColumn="0" w:lastColumn="0" w:noHBand="0" w:noVBand="0" w:val="0020"/>
        <w:jc w:val="start"/>
      </w:tblPr>
      <w:tblGrid>
        <w:gridCol w:w="2376"/>
        <w:gridCol w:w="2059"/>
        <w:gridCol w:w="712"/>
        <w:gridCol w:w="871"/>
        <w:gridCol w:w="633"/>
        <w:gridCol w:w="712"/>
        <w:gridCol w:w="554"/>
      </w:tblGrid>
      <w:tr>
        <w:trPr>
          <w:tblHeader w:val="true"/>
        </w:trPr>
        <w:tc>
          <w:tcPr/>
          <w:p>
            <w:pPr>
              <w:pStyle w:val="Compact"/>
              <w:jc w:val="left"/>
            </w:pPr>
            <w:r>
              <w:t xml:space="preserve">Experiment</w:t>
            </w:r>
          </w:p>
        </w:tc>
        <w:tc>
          <w:tcPr/>
          <w:p>
            <w:pPr>
              <w:pStyle w:val="Compact"/>
              <w:jc w:val="left"/>
            </w:pPr>
            <w:r>
              <w:t xml:space="preserve">Pass mark</w:t>
            </w:r>
          </w:p>
        </w:tc>
        <w:tc>
          <w:tcPr/>
          <w:p>
            <w:pPr>
              <w:pStyle w:val="Compact"/>
              <w:jc w:val="left"/>
            </w:pPr>
            <w:r>
              <w:t xml:space="preserve">Impact</w:t>
            </w:r>
          </w:p>
        </w:tc>
        <w:tc>
          <w:tcPr/>
          <w:p>
            <w:pPr>
              <w:pStyle w:val="Compact"/>
              <w:jc w:val="left"/>
            </w:pPr>
            <w:r>
              <w:t xml:space="preserve">Confidence</w:t>
            </w:r>
          </w:p>
        </w:tc>
        <w:tc>
          <w:tcPr/>
          <w:p>
            <w:pPr>
              <w:pStyle w:val="Compact"/>
              <w:jc w:val="left"/>
            </w:pPr>
            <w:r>
              <w:t xml:space="preserve">Ease</w:t>
            </w:r>
          </w:p>
        </w:tc>
        <w:tc>
          <w:tcPr/>
          <w:p>
            <w:pPr>
              <w:pStyle w:val="Compact"/>
              <w:jc w:val="left"/>
            </w:pPr>
            <w:r>
              <w:t xml:space="preserve">ICE total</w:t>
            </w:r>
          </w:p>
        </w:tc>
        <w:tc>
          <w:tcPr/>
          <w:p>
            <w:pPr>
              <w:pStyle w:val="Compact"/>
              <w:jc w:val="left"/>
            </w:pPr>
            <w:r>
              <w:t xml:space="preserve">Rank</w:t>
            </w:r>
          </w:p>
        </w:tc>
      </w:tr>
      <w:tr>
        <w:tc>
          <w:tcPr/>
          <w:p>
            <w:pPr>
              <w:pStyle w:val="Compact"/>
              <w:jc w:val="left"/>
            </w:pPr>
            <w:r>
              <w:t xml:space="preserve">In-clinic trial → purchase (10 clinics, 8 weeks)</w:t>
            </w:r>
          </w:p>
        </w:tc>
        <w:tc>
          <w:tcPr/>
          <w:p>
            <w:pPr>
              <w:pStyle w:val="Compact"/>
              <w:jc w:val="left"/>
            </w:pPr>
            <w:r>
              <w:t xml:space="preserve">≥30% buy at ₹9,999; CAC ≤ ₹1,079</w:t>
            </w:r>
          </w:p>
        </w:tc>
        <w:tc>
          <w:tcPr/>
          <w:p>
            <w:pPr>
              <w:pStyle w:val="Compact"/>
              <w:jc w:val="left"/>
            </w:pPr>
            <w:r>
              <w:t xml:space="preserve">9</w:t>
            </w:r>
          </w:p>
        </w:tc>
        <w:tc>
          <w:tcPr/>
          <w:p>
            <w:pPr>
              <w:pStyle w:val="Compact"/>
              <w:jc w:val="left"/>
            </w:pPr>
            <w:r>
              <w:t xml:space="preserve">5</w:t>
            </w:r>
          </w:p>
        </w:tc>
        <w:tc>
          <w:tcPr/>
          <w:p>
            <w:pPr>
              <w:pStyle w:val="Compact"/>
              <w:jc w:val="left"/>
            </w:pPr>
            <w:r>
              <w:t xml:space="preserve">5</w:t>
            </w:r>
          </w:p>
        </w:tc>
        <w:tc>
          <w:tcPr/>
          <w:p>
            <w:pPr>
              <w:pStyle w:val="Compact"/>
              <w:jc w:val="left"/>
            </w:pPr>
            <w:r>
              <w:t xml:space="preserve">19</w:t>
            </w:r>
          </w:p>
        </w:tc>
        <w:tc>
          <w:tcPr/>
          <w:p>
            <w:pPr>
              <w:pStyle w:val="Compact"/>
              <w:jc w:val="left"/>
            </w:pPr>
            <w:r>
              <w:t xml:space="preserve">1</w:t>
            </w:r>
          </w:p>
        </w:tc>
      </w:tr>
      <w:tr>
        <w:tc>
          <w:tcPr/>
          <w:p>
            <w:pPr>
              <w:pStyle w:val="Compact"/>
              <w:jc w:val="left"/>
            </w:pPr>
            <w:r>
              <w:t xml:space="preserve">ParkinSense wellness beta (100 users, 8 weeks)</w:t>
            </w:r>
          </w:p>
        </w:tc>
        <w:tc>
          <w:tcPr/>
          <w:p>
            <w:pPr>
              <w:pStyle w:val="Compact"/>
              <w:jc w:val="left"/>
            </w:pPr>
            <w:r>
              <w:t xml:space="preserve">≥40% weekly active; ≥25% would subscribe</w:t>
            </w:r>
          </w:p>
        </w:tc>
        <w:tc>
          <w:tcPr/>
          <w:p>
            <w:pPr>
              <w:pStyle w:val="Compact"/>
              <w:jc w:val="left"/>
            </w:pPr>
            <w:r>
              <w:t xml:space="preserve">7</w:t>
            </w:r>
          </w:p>
        </w:tc>
        <w:tc>
          <w:tcPr/>
          <w:p>
            <w:pPr>
              <w:pStyle w:val="Compact"/>
              <w:jc w:val="left"/>
            </w:pPr>
            <w:r>
              <w:t xml:space="preserve">5</w:t>
            </w:r>
          </w:p>
        </w:tc>
        <w:tc>
          <w:tcPr/>
          <w:p>
            <w:pPr>
              <w:pStyle w:val="Compact"/>
              <w:jc w:val="left"/>
            </w:pPr>
            <w:r>
              <w:t xml:space="preserve">6</w:t>
            </w:r>
          </w:p>
        </w:tc>
        <w:tc>
          <w:tcPr/>
          <w:p>
            <w:pPr>
              <w:pStyle w:val="Compact"/>
              <w:jc w:val="left"/>
            </w:pPr>
            <w:r>
              <w:t xml:space="preserve">18</w:t>
            </w:r>
          </w:p>
        </w:tc>
        <w:tc>
          <w:tcPr/>
          <w:p>
            <w:pPr>
              <w:pStyle w:val="Compact"/>
              <w:jc w:val="left"/>
            </w:pPr>
            <w:r>
              <w:t xml:space="preserve">2</w:t>
            </w:r>
          </w:p>
        </w:tc>
      </w:tr>
      <w:tr>
        <w:tc>
          <w:tcPr/>
          <w:p>
            <w:pPr>
              <w:pStyle w:val="Compact"/>
              <w:jc w:val="left"/>
            </w:pPr>
            <w:r>
              <w:t xml:space="preserve">Support-group referrals (PD/ET caregiver groups)</w:t>
            </w:r>
          </w:p>
        </w:tc>
        <w:tc>
          <w:tcPr/>
          <w:p>
            <w:pPr>
              <w:pStyle w:val="Compact"/>
              <w:jc w:val="left"/>
            </w:pPr>
            <w:r>
              <w:t xml:space="preserve">≥15% refer; CAC ≤ ₹800</w:t>
            </w:r>
          </w:p>
        </w:tc>
        <w:tc>
          <w:tcPr/>
          <w:p>
            <w:pPr>
              <w:pStyle w:val="Compact"/>
              <w:jc w:val="left"/>
            </w:pPr>
            <w:r>
              <w:t xml:space="preserve">6</w:t>
            </w:r>
          </w:p>
        </w:tc>
        <w:tc>
          <w:tcPr/>
          <w:p>
            <w:pPr>
              <w:pStyle w:val="Compact"/>
              <w:jc w:val="left"/>
            </w:pPr>
            <w:r>
              <w:t xml:space="preserve">4</w:t>
            </w:r>
          </w:p>
        </w:tc>
        <w:tc>
          <w:tcPr/>
          <w:p>
            <w:pPr>
              <w:pStyle w:val="Compact"/>
              <w:jc w:val="left"/>
            </w:pPr>
            <w:r>
              <w:t xml:space="preserve">7</w:t>
            </w:r>
          </w:p>
        </w:tc>
        <w:tc>
          <w:tcPr/>
          <w:p>
            <w:pPr>
              <w:pStyle w:val="Compact"/>
              <w:jc w:val="left"/>
            </w:pPr>
            <w:r>
              <w:t xml:space="preserve">17</w:t>
            </w:r>
          </w:p>
        </w:tc>
        <w:tc>
          <w:tcPr/>
          <w:p>
            <w:pPr>
              <w:pStyle w:val="Compact"/>
              <w:jc w:val="left"/>
            </w:pPr>
            <w:r>
              <w:t xml:space="preserve">3</w:t>
            </w:r>
          </w:p>
        </w:tc>
      </w:tr>
    </w:tbl>
    <w:p>
      <w:pPr>
        <w:pStyle w:val="BodyText"/>
      </w:pPr>
      <w:r>
        <w:t xml:space="preserve">ICE total = Impact + Confidence + Ease (each 1–10). Rank 1 runs first because it tests the riskiest commercial assumption (willingness to pay through clinics).</w:t>
      </w:r>
    </w:p>
    <w:bookmarkEnd w:id="90"/>
    <w:bookmarkEnd w:id="91"/>
    <w:bookmarkStart w:id="99" w:name="M4.3"/>
    <w:p>
      <w:pPr>
        <w:pStyle w:val="BodyText"/>
      </w:pPr>
      <w:r>
        <w:t xml:space="preserve">M4 · Activity 3 · Mandatory Model M4.3</w:t>
      </w:r>
    </w:p>
    <w:bookmarkStart w:id="92" w:name="X60e324d30ff8a3154754012a69e6f69cb16fa8b"/>
    <w:p>
      <w:pPr>
        <w:pStyle w:val="Heading1"/>
      </w:pPr>
      <w:r>
        <w:t xml:space="preserve">Fundraising Model, Cap Table &amp; Investor Pitch</w:t>
      </w:r>
    </w:p>
    <w:tbl>
      <w:tblPr>
        <w:tblStyle w:val="Table"/>
        <w:tblW w:type="auto" w:w="0"/>
        <w:tblLook w:firstRow="0" w:lastRow="0" w:firstColumn="0" w:lastColumn="0" w:noHBand="0" w:noVBand="0" w:val="0000"/>
        <w:jc w:val="start"/>
      </w:tblPr>
      <w:tblGrid>
        <w:gridCol w:w="1980"/>
        <w:gridCol w:w="1980"/>
        <w:gridCol w:w="1980"/>
        <w:gridCol w:w="1980"/>
      </w:tblGrid>
      <w:tr>
        <w:tc>
          <w:tcPr/>
          <w:p>
            <w:pPr>
              <w:pStyle w:val="Compact"/>
              <w:jc w:val="left"/>
            </w:pPr>
            <w:r>
              <w:rPr>
                <w:bCs/>
                <w:b/>
              </w:rPr>
              <w:t xml:space="preserve">Module</w:t>
            </w:r>
            <w:r>
              <w:t xml:space="preserve"> </w:t>
            </w:r>
            <w:r>
              <w:t xml:space="preserve">4</w:t>
            </w:r>
          </w:p>
        </w:tc>
        <w:tc>
          <w:tcPr/>
          <w:p>
            <w:pPr>
              <w:pStyle w:val="Compact"/>
              <w:jc w:val="left"/>
            </w:pPr>
            <w:r>
              <w:rPr>
                <w:bCs/>
                <w:b/>
              </w:rPr>
              <w:t xml:space="preserve">Activity</w:t>
            </w:r>
            <w:r>
              <w:t xml:space="preserve"> </w:t>
            </w:r>
            <w:r>
              <w:t xml:space="preserve">3</w:t>
            </w:r>
          </w:p>
        </w:tc>
        <w:tc>
          <w:tcPr/>
          <w:p>
            <w:pPr>
              <w:pStyle w:val="Compact"/>
              <w:jc w:val="left"/>
            </w:pPr>
            <w:r>
              <w:rPr>
                <w:bCs/>
                <w:b/>
              </w:rPr>
              <w:t xml:space="preserve">Date completed</w:t>
            </w:r>
            <w:r>
              <w:t xml:space="preserve"> </w:t>
            </w:r>
            <w:r>
              <w:t xml:space="preserve">10 Oct 2026</w:t>
            </w:r>
          </w:p>
        </w:tc>
        <w:tc>
          <w:tcPr/>
          <w:p>
            <w:pPr>
              <w:pStyle w:val="Compact"/>
              <w:jc w:val="left"/>
            </w:pPr>
            <w:r>
              <w:rPr>
                <w:bCs/>
                <w:b/>
              </w:rPr>
              <w:t xml:space="preserve">Venture</w:t>
            </w:r>
            <w:r>
              <w:t xml:space="preserve"> </w:t>
            </w:r>
            <w:r>
              <w:t xml:space="preserve">AVERRA</w:t>
            </w:r>
          </w:p>
        </w:tc>
      </w:tr>
      <w:tr>
        <w:tc>
          <w:tcPr>
            <w:gridSpan w:val="4"/>
          </w:tcPr>
          <w:p>
            <w:pPr>
              <w:pStyle w:val="Compact"/>
              <w:jc w:val="left"/>
            </w:pPr>
            <w:r>
              <w:rPr>
                <w:bCs/>
                <w:b/>
              </w:rPr>
              <w:t xml:space="preserve">Evidence status:</w:t>
            </w:r>
            <w:r>
              <w:t xml:space="preserve"> </w:t>
            </w:r>
            <w:r>
              <w:t xml:space="preserve">Completed · model figures</w:t>
            </w:r>
          </w:p>
        </w:tc>
      </w:tr>
      <w:tr>
        <w:tc>
          <w:tcPr>
            <w:gridSpan w:val="4"/>
          </w:tcPr>
          <w:p>
            <w:pPr>
              <w:pStyle w:val="Compact"/>
              <w:jc w:val="left"/>
            </w:pPr>
            <w:r>
              <w:t xml:space="preserve">Data note: Ask, valuation and cap table are from the model; ₹75 L pre-money is a proposed negotiation target.</w:t>
            </w:r>
          </w:p>
        </w:tc>
      </w:tr>
    </w:tbl>
    <w:bookmarkEnd w:id="92"/>
    <w:bookmarkStart w:id="93" w:name="the-ask-and-the-milestone-it-funds"/>
    <w:p>
      <w:pPr>
        <w:pStyle w:val="Heading2"/>
      </w:pPr>
      <w:r>
        <w:t xml:space="preserve">1. The ask and the milestone it funds</w:t>
      </w:r>
    </w:p>
    <w:p>
      <w:pPr>
        <w:pStyle w:val="FirstParagraph"/>
      </w:pPr>
      <w:r>
        <w:t xml:space="preserve">Raise</w:t>
      </w:r>
      <w:r>
        <w:t xml:space="preserve"> </w:t>
      </w:r>
      <w:r>
        <w:rPr>
          <w:bCs/>
          <w:b/>
        </w:rPr>
        <w:t xml:space="preserve">₹10,51,171</w:t>
      </w:r>
      <w:r>
        <w:t xml:space="preserve"> </w:t>
      </w:r>
      <w:r>
        <w:t xml:space="preserve">(Round 1) to fund Milestone 1 (M1–M6): both founders full-time, 12 study units, the preregistered user study, a provisional patent filing (planned) and a CDSCO classification opinion. Amount = Phase-1 peak cash gap ₹8,75,976 × 1.2 buffer.</w:t>
      </w:r>
    </w:p>
    <w:bookmarkEnd w:id="93"/>
    <w:bookmarkStart w:id="94" w:name="valuation"/>
    <w:p>
      <w:pPr>
        <w:pStyle w:val="Heading2"/>
      </w:pPr>
      <w:r>
        <w:t xml:space="preserve">2. Valuation</w:t>
      </w:r>
    </w:p>
    <w:p>
      <w:pPr>
        <w:pStyle w:val="FirstParagraph"/>
      </w:pPr>
      <w:r>
        <w:rPr>
          <w:bCs/>
          <w:b/>
        </w:rPr>
        <w:t xml:space="preserve">Proposed pre-money: ₹75,00,000 — a working negotiation target, not an independently verified market valuation.</w:t>
      </w:r>
      <w:r>
        <w:t xml:space="preserve"> </w:t>
      </w:r>
      <w:r>
        <w:t xml:space="preserve">Methods used, named explicitly:</w:t>
      </w:r>
    </w:p>
    <w:p>
      <w:pPr>
        <w:numPr>
          <w:ilvl w:val="0"/>
          <w:numId w:val="1007"/>
        </w:numPr>
        <w:pStyle w:val="Compact"/>
      </w:pPr>
      <w:r>
        <w:rPr>
          <w:bCs/>
          <w:b/>
        </w:rPr>
        <w:t xml:space="preserve">Cost-to-duplicate (floor):</w:t>
      </w:r>
      <w:r>
        <w:t xml:space="preserve"> </w:t>
      </w:r>
      <w:r>
        <w:t xml:space="preserve">34 person-months × ₹1,25,000 + ₹2,25,000 materials = ₹44,75,000.</w:t>
      </w:r>
    </w:p>
    <w:p>
      <w:pPr>
        <w:numPr>
          <w:ilvl w:val="0"/>
          <w:numId w:val="1007"/>
        </w:numPr>
        <w:pStyle w:val="Compact"/>
      </w:pPr>
      <w:r>
        <w:rPr>
          <w:bCs/>
          <w:b/>
        </w:rPr>
        <w:t xml:space="preserve">Berkus-style scorecard (cross-check):</w:t>
      </w:r>
      <w:r>
        <w:t xml:space="preserve"> </w:t>
      </w:r>
      <w:r>
        <w:t xml:space="preserve">₹15.0 L + ₹20.0 L + ₹12.5 L + ₹10.0 L + ₹2.5 L = ₹60,00,000.</w:t>
      </w:r>
    </w:p>
    <w:p>
      <w:pPr>
        <w:numPr>
          <w:ilvl w:val="0"/>
          <w:numId w:val="1007"/>
        </w:numPr>
        <w:pStyle w:val="Compact"/>
      </w:pPr>
      <w:r>
        <w:t xml:space="preserve">The premium above the cross-check reflects two products and a clinical evaluation in progress (founder-reported).</w:t>
      </w:r>
    </w:p>
    <w:bookmarkEnd w:id="94"/>
    <w:bookmarkStart w:id="95" w:name="arithmetic"/>
    <w:p>
      <w:pPr>
        <w:pStyle w:val="Heading2"/>
      </w:pPr>
      <w:r>
        <w:t xml:space="preserve">3. Arithmetic</w:t>
      </w:r>
    </w:p>
    <w:tbl>
      <w:tblPr>
        <w:tblStyle w:val="Table"/>
        <w:tblW w:type="pct" w:w="5000"/>
        <w:tblLook w:firstRow="1" w:lastRow="0" w:firstColumn="0" w:lastColumn="0" w:noHBand="0" w:noVBand="0" w:val="0020"/>
        <w:jc w:val="start"/>
      </w:tblPr>
      <w:tblGrid>
        <w:gridCol w:w="1584"/>
        <w:gridCol w:w="2851"/>
        <w:gridCol w:w="3484"/>
      </w:tblGrid>
      <w:tr>
        <w:trPr>
          <w:tblHeader w:val="true"/>
        </w:trPr>
        <w:tc>
          <w:tcPr/>
          <w:p>
            <w:pPr>
              <w:pStyle w:val="Compact"/>
            </w:pPr>
          </w:p>
        </w:tc>
        <w:tc>
          <w:tcPr/>
          <w:p>
            <w:pPr>
              <w:pStyle w:val="Compact"/>
              <w:jc w:val="left"/>
            </w:pPr>
            <w:r>
              <w:t xml:space="preserve">Formula</w:t>
            </w:r>
          </w:p>
        </w:tc>
        <w:tc>
          <w:tcPr/>
          <w:p>
            <w:pPr>
              <w:pStyle w:val="Compact"/>
              <w:jc w:val="left"/>
            </w:pPr>
            <w:r>
              <w:t xml:space="preserve">Value</w:t>
            </w:r>
          </w:p>
        </w:tc>
      </w:tr>
      <w:tr>
        <w:tc>
          <w:tcPr/>
          <w:p>
            <w:pPr>
              <w:pStyle w:val="Compact"/>
              <w:jc w:val="left"/>
            </w:pPr>
            <w:r>
              <w:t xml:space="preserve">Post-money</w:t>
            </w:r>
          </w:p>
        </w:tc>
        <w:tc>
          <w:tcPr/>
          <w:p>
            <w:pPr>
              <w:pStyle w:val="Compact"/>
              <w:jc w:val="left"/>
            </w:pPr>
            <w:r>
              <w:t xml:space="preserve">Pre-money + investment</w:t>
            </w:r>
          </w:p>
        </w:tc>
        <w:tc>
          <w:tcPr/>
          <w:p>
            <w:pPr>
              <w:pStyle w:val="Compact"/>
              <w:jc w:val="left"/>
            </w:pPr>
            <w:r>
              <w:t xml:space="preserve">₹75,00,000 + ₹10,51,171 =</w:t>
            </w:r>
            <w:r>
              <w:t xml:space="preserve"> </w:t>
            </w:r>
            <w:r>
              <w:rPr>
                <w:bCs/>
                <w:b/>
              </w:rPr>
              <w:t xml:space="preserve">₹85,51,171</w:t>
            </w:r>
          </w:p>
        </w:tc>
      </w:tr>
      <w:tr>
        <w:tc>
          <w:tcPr/>
          <w:p>
            <w:pPr>
              <w:pStyle w:val="Compact"/>
              <w:jc w:val="left"/>
            </w:pPr>
            <w:r>
              <w:t xml:space="preserve">Investor ownership</w:t>
            </w:r>
          </w:p>
        </w:tc>
        <w:tc>
          <w:tcPr/>
          <w:p>
            <w:pPr>
              <w:pStyle w:val="Compact"/>
              <w:jc w:val="left"/>
            </w:pPr>
            <w:r>
              <w:t xml:space="preserve">Investment ÷ post-money × 100</w:t>
            </w:r>
          </w:p>
        </w:tc>
        <w:tc>
          <w:tcPr/>
          <w:p>
            <w:pPr>
              <w:pStyle w:val="Compact"/>
              <w:jc w:val="left"/>
            </w:pPr>
            <w:r>
              <w:t xml:space="preserve">₹10,51,171 ÷ ₹85,51,171 =</w:t>
            </w:r>
            <w:r>
              <w:t xml:space="preserve"> </w:t>
            </w:r>
            <w:r>
              <w:rPr>
                <w:bCs/>
                <w:b/>
              </w:rPr>
              <w:t xml:space="preserve">12.29%</w:t>
            </w:r>
          </w:p>
        </w:tc>
      </w:tr>
      <w:tr>
        <w:tc>
          <w:tcPr/>
          <w:p>
            <w:pPr>
              <w:pStyle w:val="Compact"/>
              <w:jc w:val="left"/>
            </w:pPr>
            <w:r>
              <w:t xml:space="preserve">ESOP pool</w:t>
            </w:r>
          </w:p>
        </w:tc>
        <w:tc>
          <w:tcPr/>
          <w:p>
            <w:pPr>
              <w:pStyle w:val="Compact"/>
              <w:jc w:val="left"/>
            </w:pPr>
            <w:r>
              <w:t xml:space="preserve">set aside</w:t>
            </w:r>
          </w:p>
        </w:tc>
        <w:tc>
          <w:tcPr/>
          <w:p>
            <w:pPr>
              <w:pStyle w:val="Compact"/>
              <w:jc w:val="left"/>
            </w:pPr>
            <w:r>
              <w:rPr>
                <w:bCs/>
                <w:b/>
              </w:rPr>
              <w:t xml:space="preserve">5%</w:t>
            </w:r>
          </w:p>
        </w:tc>
      </w:tr>
      <w:tr>
        <w:tc>
          <w:tcPr/>
          <w:p>
            <w:pPr>
              <w:pStyle w:val="Compact"/>
              <w:jc w:val="left"/>
            </w:pPr>
            <w:r>
              <w:t xml:space="preserve">Founders</w:t>
            </w:r>
          </w:p>
        </w:tc>
        <w:tc>
          <w:tcPr/>
          <w:p>
            <w:pPr>
              <w:pStyle w:val="Compact"/>
              <w:jc w:val="left"/>
            </w:pPr>
            <w:r>
              <w:t xml:space="preserve">100% − investor − ESOP</w:t>
            </w:r>
          </w:p>
        </w:tc>
        <w:tc>
          <w:tcPr/>
          <w:p>
            <w:pPr>
              <w:pStyle w:val="Compact"/>
              <w:jc w:val="left"/>
            </w:pPr>
            <w:r>
              <w:rPr>
                <w:bCs/>
                <w:b/>
              </w:rPr>
              <w:t xml:space="preserve">82.71%</w:t>
            </w:r>
          </w:p>
        </w:tc>
      </w:tr>
    </w:tbl>
    <w:bookmarkEnd w:id="95"/>
    <w:bookmarkStart w:id="96" w:name="cap-table"/>
    <w:p>
      <w:pPr>
        <w:pStyle w:val="Heading2"/>
      </w:pPr>
      <w:r>
        <w:t xml:space="preserve">4. Cap table</w:t>
      </w:r>
    </w:p>
    <w:tbl>
      <w:tblPr>
        <w:tblStyle w:val="Table"/>
        <w:tblW w:type="pct" w:w="5000"/>
        <w:tblLook w:firstRow="1" w:lastRow="0" w:firstColumn="0" w:lastColumn="0" w:noHBand="0" w:noVBand="0" w:val="0020"/>
        <w:jc w:val="start"/>
      </w:tblPr>
      <w:tblGrid>
        <w:gridCol w:w="3168"/>
        <w:gridCol w:w="2376"/>
        <w:gridCol w:w="2376"/>
      </w:tblGrid>
      <w:tr>
        <w:trPr>
          <w:tblHeader w:val="true"/>
        </w:trPr>
        <w:tc>
          <w:tcPr/>
          <w:p>
            <w:pPr>
              <w:pStyle w:val="Compact"/>
              <w:jc w:val="left"/>
            </w:pPr>
            <w:r>
              <w:t xml:space="preserve">Holder</w:t>
            </w:r>
          </w:p>
        </w:tc>
        <w:tc>
          <w:tcPr/>
          <w:p>
            <w:pPr>
              <w:pStyle w:val="Compact"/>
              <w:jc w:val="left"/>
            </w:pPr>
            <w:r>
              <w:t xml:space="preserve">Before Round 1</w:t>
            </w:r>
          </w:p>
        </w:tc>
        <w:tc>
          <w:tcPr/>
          <w:p>
            <w:pPr>
              <w:pStyle w:val="Compact"/>
              <w:jc w:val="left"/>
            </w:pPr>
            <w:r>
              <w:t xml:space="preserve">After Round 1 (at ₹75 L pre)</w:t>
            </w:r>
          </w:p>
        </w:tc>
      </w:tr>
      <w:tr>
        <w:tc>
          <w:tcPr/>
          <w:p>
            <w:pPr>
              <w:pStyle w:val="Compact"/>
              <w:jc w:val="left"/>
            </w:pPr>
            <w:r>
              <w:t xml:space="preserve">Founders</w:t>
            </w:r>
          </w:p>
        </w:tc>
        <w:tc>
          <w:tcPr/>
          <w:p>
            <w:pPr>
              <w:pStyle w:val="Compact"/>
              <w:jc w:val="left"/>
            </w:pPr>
            <w:r>
              <w:t xml:space="preserve">100%</w:t>
            </w:r>
          </w:p>
        </w:tc>
        <w:tc>
          <w:tcPr/>
          <w:p>
            <w:pPr>
              <w:pStyle w:val="Compact"/>
              <w:jc w:val="left"/>
            </w:pPr>
            <w:r>
              <w:t xml:space="preserve">82.71%</w:t>
            </w:r>
          </w:p>
        </w:tc>
      </w:tr>
      <w:tr>
        <w:tc>
          <w:tcPr/>
          <w:p>
            <w:pPr>
              <w:pStyle w:val="Compact"/>
              <w:jc w:val="left"/>
            </w:pPr>
            <w:r>
              <w:t xml:space="preserve">ESOP pool</w:t>
            </w:r>
          </w:p>
        </w:tc>
        <w:tc>
          <w:tcPr/>
          <w:p>
            <w:pPr>
              <w:pStyle w:val="Compact"/>
              <w:jc w:val="left"/>
            </w:pPr>
            <w:r>
              <w:t xml:space="preserve">—</w:t>
            </w:r>
          </w:p>
        </w:tc>
        <w:tc>
          <w:tcPr/>
          <w:p>
            <w:pPr>
              <w:pStyle w:val="Compact"/>
              <w:jc w:val="left"/>
            </w:pPr>
            <w:r>
              <w:t xml:space="preserve">5.00%</w:t>
            </w:r>
          </w:p>
        </w:tc>
      </w:tr>
      <w:tr>
        <w:tc>
          <w:tcPr/>
          <w:p>
            <w:pPr>
              <w:pStyle w:val="Compact"/>
              <w:jc w:val="left"/>
            </w:pPr>
            <w:r>
              <w:t xml:space="preserve">Round-1 investor</w:t>
            </w:r>
          </w:p>
        </w:tc>
        <w:tc>
          <w:tcPr/>
          <w:p>
            <w:pPr>
              <w:pStyle w:val="Compact"/>
              <w:jc w:val="left"/>
            </w:pPr>
            <w:r>
              <w:t xml:space="preserve">—</w:t>
            </w:r>
          </w:p>
        </w:tc>
        <w:tc>
          <w:tcPr/>
          <w:p>
            <w:pPr>
              <w:pStyle w:val="Compact"/>
              <w:jc w:val="left"/>
            </w:pPr>
            <w:r>
              <w:t xml:space="preserve">12.29%</w:t>
            </w:r>
          </w:p>
        </w:tc>
      </w:tr>
      <w:tr>
        <w:tc>
          <w:tcPr/>
          <w:p>
            <w:pPr>
              <w:pStyle w:val="Compact"/>
              <w:jc w:val="left"/>
            </w:pPr>
            <w:r>
              <w:rPr>
                <w:bCs/>
                <w:b/>
              </w:rPr>
              <w:t xml:space="preserve">Total</w:t>
            </w:r>
          </w:p>
        </w:tc>
        <w:tc>
          <w:tcPr/>
          <w:p>
            <w:pPr>
              <w:pStyle w:val="Compact"/>
              <w:jc w:val="left"/>
            </w:pPr>
            <w:r>
              <w:t xml:space="preserve">100%</w:t>
            </w:r>
          </w:p>
        </w:tc>
        <w:tc>
          <w:tcPr/>
          <w:p>
            <w:pPr>
              <w:pStyle w:val="Compact"/>
              <w:jc w:val="left"/>
            </w:pPr>
            <w:r>
              <w:t xml:space="preserve">100%</w:t>
            </w:r>
          </w:p>
        </w:tc>
      </w:tr>
    </w:tbl>
    <w:p>
      <w:pPr>
        <w:pStyle w:val="BodyText"/>
      </w:pPr>
      <w:r>
        <w:t xml:space="preserve">The model treats the 5% ESOP pool as created at Round 1 alongside the investor (founders = 100% − 12.29% − 5%). Check: 82.71% + 5.00% + 12.29% = 100.00%.</w:t>
      </w:r>
    </w:p>
    <w:bookmarkEnd w:id="96"/>
    <w:bookmarkStart w:id="97" w:name="use-of-funds-phase-1-m1m6"/>
    <w:p>
      <w:pPr>
        <w:pStyle w:val="Heading2"/>
      </w:pPr>
      <w:r>
        <w:t xml:space="preserve">5. Use of funds (Phase 1, M1–M6)</w:t>
      </w:r>
    </w:p>
    <w:tbl>
      <w:tblPr>
        <w:tblStyle w:val="Table"/>
        <w:tblW w:type="pct" w:w="5000"/>
        <w:tblLook w:firstRow="1" w:lastRow="0" w:firstColumn="0" w:lastColumn="0" w:noHBand="0" w:noVBand="0" w:val="0020"/>
        <w:jc w:val="start"/>
      </w:tblPr>
      <w:tblGrid>
        <w:gridCol w:w="2059"/>
        <w:gridCol w:w="1108"/>
        <w:gridCol w:w="792"/>
        <w:gridCol w:w="3960"/>
      </w:tblGrid>
      <w:tr>
        <w:trPr>
          <w:tblHeader w:val="true"/>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Share</w:t>
            </w:r>
          </w:p>
        </w:tc>
        <w:tc>
          <w:tcPr/>
          <w:p>
            <w:pPr>
              <w:pStyle w:val="Compact"/>
              <w:jc w:val="left"/>
            </w:pPr>
            <w:r>
              <w:t xml:space="preserve">What it buys</w:t>
            </w:r>
          </w:p>
        </w:tc>
      </w:tr>
      <w:tr>
        <w:tc>
          <w:tcPr/>
          <w:p>
            <w:pPr>
              <w:pStyle w:val="Compact"/>
              <w:jc w:val="left"/>
            </w:pPr>
            <w:r>
              <w:t xml:space="preserve">Team</w:t>
            </w:r>
          </w:p>
        </w:tc>
        <w:tc>
          <w:tcPr/>
          <w:p>
            <w:pPr>
              <w:pStyle w:val="Compact"/>
              <w:jc w:val="left"/>
            </w:pPr>
            <w:r>
              <w:t xml:space="preserve">₹2,70,000</w:t>
            </w:r>
          </w:p>
        </w:tc>
        <w:tc>
          <w:tcPr/>
          <w:p>
            <w:pPr>
              <w:pStyle w:val="Compact"/>
              <w:jc w:val="left"/>
            </w:pPr>
            <w:r>
              <w:t xml:space="preserve">31%</w:t>
            </w:r>
          </w:p>
        </w:tc>
        <w:tc>
          <w:tcPr/>
          <w:p>
            <w:pPr>
              <w:pStyle w:val="Compact"/>
              <w:jc w:val="left"/>
            </w:pPr>
            <w:r>
              <w:t xml:space="preserve">Both founders full-time for six months</w:t>
            </w:r>
          </w:p>
        </w:tc>
      </w:tr>
      <w:tr>
        <w:tc>
          <w:tcPr/>
          <w:p>
            <w:pPr>
              <w:pStyle w:val="Compact"/>
              <w:jc w:val="left"/>
            </w:pPr>
            <w:r>
              <w:t xml:space="preserve">Validation (both products)</w:t>
            </w:r>
          </w:p>
        </w:tc>
        <w:tc>
          <w:tcPr/>
          <w:p>
            <w:pPr>
              <w:pStyle w:val="Compact"/>
              <w:jc w:val="left"/>
            </w:pPr>
            <w:r>
              <w:t xml:space="preserve">₹1,58,341</w:t>
            </w:r>
          </w:p>
        </w:tc>
        <w:tc>
          <w:tcPr/>
          <w:p>
            <w:pPr>
              <w:pStyle w:val="Compact"/>
              <w:jc w:val="left"/>
            </w:pPr>
            <w:r>
              <w:t xml:space="preserve">18%</w:t>
            </w:r>
          </w:p>
        </w:tc>
        <w:tc>
          <w:tcPr/>
          <w:p>
            <w:pPr>
              <w:pStyle w:val="Compact"/>
              <w:jc w:val="left"/>
            </w:pPr>
            <w:r>
              <w:t xml:space="preserve">12 TremoSense study units and the user study (n ≥ 10); ParkinSense reference testing</w:t>
            </w:r>
          </w:p>
        </w:tc>
      </w:tr>
      <w:tr>
        <w:tc>
          <w:tcPr/>
          <w:p>
            <w:pPr>
              <w:pStyle w:val="Compact"/>
              <w:jc w:val="left"/>
            </w:pPr>
            <w:r>
              <w:t xml:space="preserve">Regulatory &amp; quality</w:t>
            </w:r>
          </w:p>
        </w:tc>
        <w:tc>
          <w:tcPr/>
          <w:p>
            <w:pPr>
              <w:pStyle w:val="Compact"/>
              <w:jc w:val="left"/>
            </w:pPr>
            <w:r>
              <w:t xml:space="preserve">₹30,000</w:t>
            </w:r>
          </w:p>
        </w:tc>
        <w:tc>
          <w:tcPr/>
          <w:p>
            <w:pPr>
              <w:pStyle w:val="Compact"/>
              <w:jc w:val="left"/>
            </w:pPr>
            <w:r>
              <w:t xml:space="preserve">3%</w:t>
            </w:r>
          </w:p>
        </w:tc>
        <w:tc>
          <w:tcPr/>
          <w:p>
            <w:pPr>
              <w:pStyle w:val="Compact"/>
              <w:jc w:val="left"/>
            </w:pPr>
            <w:r>
              <w:t xml:space="preserve">CDSCO classification opinion and ethics approval</w:t>
            </w:r>
          </w:p>
        </w:tc>
      </w:tr>
      <w:tr>
        <w:tc>
          <w:tcPr/>
          <w:p>
            <w:pPr>
              <w:pStyle w:val="Compact"/>
              <w:jc w:val="left"/>
            </w:pPr>
            <w:r>
              <w:t xml:space="preserve">Prototyping, tools, IP</w:t>
            </w:r>
          </w:p>
        </w:tc>
        <w:tc>
          <w:tcPr/>
          <w:p>
            <w:pPr>
              <w:pStyle w:val="Compact"/>
              <w:jc w:val="left"/>
            </w:pPr>
            <w:r>
              <w:t xml:space="preserve">₹2,53,000</w:t>
            </w:r>
          </w:p>
        </w:tc>
        <w:tc>
          <w:tcPr/>
          <w:p>
            <w:pPr>
              <w:pStyle w:val="Compact"/>
              <w:jc w:val="left"/>
            </w:pPr>
            <w:r>
              <w:t xml:space="preserve">29%</w:t>
            </w:r>
          </w:p>
        </w:tc>
        <w:tc>
          <w:tcPr/>
          <w:p>
            <w:pPr>
              <w:pStyle w:val="Compact"/>
              <w:jc w:val="left"/>
            </w:pPr>
            <w:r>
              <w:t xml:space="preserve">Provisional patent, test equipment and prototype iterations</w:t>
            </w:r>
          </w:p>
        </w:tc>
      </w:tr>
      <w:tr>
        <w:tc>
          <w:tcPr/>
          <w:p>
            <w:pPr>
              <w:pStyle w:val="Compact"/>
              <w:jc w:val="left"/>
            </w:pPr>
            <w:r>
              <w:t xml:space="preserve">Go-to-market &amp; admin</w:t>
            </w:r>
          </w:p>
        </w:tc>
        <w:tc>
          <w:tcPr/>
          <w:p>
            <w:pPr>
              <w:pStyle w:val="Compact"/>
              <w:jc w:val="left"/>
            </w:pPr>
            <w:r>
              <w:t xml:space="preserve">₹85,000</w:t>
            </w:r>
          </w:p>
        </w:tc>
        <w:tc>
          <w:tcPr/>
          <w:p>
            <w:pPr>
              <w:pStyle w:val="Compact"/>
              <w:jc w:val="left"/>
            </w:pPr>
            <w:r>
              <w:t xml:space="preserve">10%</w:t>
            </w:r>
          </w:p>
        </w:tc>
        <w:tc>
          <w:tcPr/>
          <w:p>
            <w:pPr>
              <w:pStyle w:val="Compact"/>
              <w:jc w:val="left"/>
            </w:pPr>
            <w:r>
              <w:t xml:space="preserve">Clinic outreach for the trial-to-purchase test; company admin</w:t>
            </w:r>
          </w:p>
        </w:tc>
      </w:tr>
      <w:tr>
        <w:tc>
          <w:tcPr/>
          <w:p>
            <w:pPr>
              <w:pStyle w:val="Compact"/>
              <w:jc w:val="left"/>
            </w:pPr>
            <w:r>
              <w:t xml:space="preserve">Contingency</w:t>
            </w:r>
          </w:p>
        </w:tc>
        <w:tc>
          <w:tcPr/>
          <w:p>
            <w:pPr>
              <w:pStyle w:val="Compact"/>
              <w:jc w:val="left"/>
            </w:pPr>
            <w:r>
              <w:t xml:space="preserve">₹79,634</w:t>
            </w:r>
          </w:p>
        </w:tc>
        <w:tc>
          <w:tcPr/>
          <w:p>
            <w:pPr>
              <w:pStyle w:val="Compact"/>
              <w:jc w:val="left"/>
            </w:pPr>
            <w:r>
              <w:t xml:space="preserve">9%</w:t>
            </w:r>
          </w:p>
        </w:tc>
        <w:tc>
          <w:tcPr/>
          <w:p>
            <w:pPr>
              <w:pStyle w:val="Compact"/>
              <w:jc w:val="left"/>
            </w:pPr>
            <w:r>
              <w:t xml:space="preserve">Buffer for slips and price changes</w:t>
            </w:r>
          </w:p>
        </w:tc>
      </w:tr>
      <w:tr>
        <w:tc>
          <w:tcPr/>
          <w:p>
            <w:pPr>
              <w:pStyle w:val="Compact"/>
              <w:jc w:val="left"/>
            </w:pPr>
            <w:r>
              <w:rPr>
                <w:bCs/>
                <w:b/>
              </w:rPr>
              <w:t xml:space="preserve">Total Phase 1</w:t>
            </w:r>
          </w:p>
        </w:tc>
        <w:tc>
          <w:tcPr/>
          <w:p>
            <w:pPr>
              <w:pStyle w:val="Compact"/>
              <w:jc w:val="left"/>
            </w:pPr>
            <w:r>
              <w:rPr>
                <w:bCs/>
                <w:b/>
              </w:rPr>
              <w:t xml:space="preserve">₹8,75,976</w:t>
            </w:r>
          </w:p>
        </w:tc>
        <w:tc>
          <w:tcPr/>
          <w:p>
            <w:pPr>
              <w:pStyle w:val="Compact"/>
              <w:jc w:val="left"/>
            </w:pPr>
            <w:r>
              <w:t xml:space="preserve">100%</w:t>
            </w:r>
          </w:p>
        </w:tc>
        <w:tc>
          <w:tcPr/>
          <w:p>
            <w:pPr>
              <w:pStyle w:val="Compact"/>
              <w:jc w:val="left"/>
            </w:pPr>
            <w:r>
              <w:t xml:space="preserve">Round = this × 1.2 = ₹10,51,171</w:t>
            </w:r>
          </w:p>
        </w:tc>
      </w:tr>
    </w:tbl>
    <w:p>
      <w:pPr>
        <w:pStyle w:val="BodyText"/>
      </w:pPr>
      <w:r>
        <w:rPr>
          <w:bCs/>
          <w:b/>
        </w:rPr>
        <w:t xml:space="preserve">Runway:</w:t>
      </w:r>
      <w:r>
        <w:t xml:space="preserve"> </w:t>
      </w:r>
      <w:r>
        <w:t xml:space="preserve">7.2 months at Phase-1 burn.</w:t>
      </w:r>
      <w:r>
        <w:t xml:space="preserve"> </w:t>
      </w:r>
      <w:r>
        <w:rPr>
          <w:bCs/>
          <w:b/>
        </w:rPr>
        <w:t xml:space="preserve">After this round:</w:t>
      </w:r>
      <w:r>
        <w:t xml:space="preserve"> </w:t>
      </w:r>
      <w:r>
        <w:t xml:space="preserve">tranche 2 of ₹37.71 L must close by M7 (Jan 2028), priced on the M6 result; total to break-even ₹48.22 L.</w:t>
      </w:r>
      <w:r>
        <w:t xml:space="preserve"> </w:t>
      </w:r>
      <w:r>
        <w:rPr>
          <w:bCs/>
          <w:b/>
        </w:rPr>
        <w:t xml:space="preserve">Startup India Seed Fund grant (₹20 L): applied for, not secured, and not counted.</w:t>
      </w:r>
    </w:p>
    <w:bookmarkEnd w:id="97"/>
    <w:bookmarkStart w:id="98" w:name="short-investor-pitch"/>
    <w:p>
      <w:pPr>
        <w:pStyle w:val="Heading2"/>
      </w:pPr>
      <w:r>
        <w:t xml:space="preserve">6. Short investor pitch</w:t>
      </w:r>
    </w:p>
    <w:p>
      <w:pPr>
        <w:pStyle w:val="BlockText"/>
      </w:pPr>
      <w:r>
        <w:t xml:space="preserve">AVERRA engineers better movement intelligence. TremoSense is an active stabilising spoon that rejects about 90% of tremor on our bench, founder-reported, at ₹9,999, a quarter of imported alternatives; ParkinSense is a ₹7,999 wellness band with tremor detection, in a clinical evaluation with ICMR. Every unit is profitable from the first sale: ₹2,538 contribution on TremoSense. We are raising ₹10.51 L at a ₹75 L pre-money for 12.3% to reach one clear answer in six months: a preregistered user study with at least ten people. If the median tremor reduction is below 30%, we stop TremoSense.</w:t>
      </w:r>
    </w:p>
    <w:p>
      <w:pPr>
        <w:pStyle w:val="FirstParagraph"/>
      </w:pPr>
      <w:r>
        <w:t xml:space="preserve">Mock-panel questions (simulated rehearsal, 14 Oct 2026). Questions: “Why ₹75 L and not ₹60 L?” → cost-to-duplicate floor plus two products and an ongoing clinical evaluation; “What if the study fails?” → preregistered kill rule at &lt;30%; “Why clinics, not online?” → caregivers want to try before buying.</w:t>
      </w:r>
    </w:p>
    <w:bookmarkEnd w:id="98"/>
    <w:bookmarkEnd w:id="99"/>
    <w:bookmarkStart w:id="105" w:name="M5.1"/>
    <w:p>
      <w:pPr>
        <w:pStyle w:val="BodyText"/>
      </w:pPr>
      <w:r>
        <w:t xml:space="preserve">M5 · Activity 1 · Mandatory Model M5.1</w:t>
      </w:r>
    </w:p>
    <w:bookmarkStart w:id="100" w:name="sustainable-ethical-enterprise-blueprint"/>
    <w:p>
      <w:pPr>
        <w:pStyle w:val="Heading1"/>
      </w:pPr>
      <w:r>
        <w:t xml:space="preserve">Sustainable &amp; Ethical Enterprise Blueprint</w:t>
      </w:r>
    </w:p>
    <w:tbl>
      <w:tblPr>
        <w:tblStyle w:val="Table"/>
        <w:tblW w:type="auto" w:w="0"/>
        <w:tblLook w:firstRow="0" w:lastRow="0" w:firstColumn="0" w:lastColumn="0" w:noHBand="0" w:noVBand="0" w:val="0000"/>
        <w:jc w:val="start"/>
      </w:tblPr>
      <w:tblGrid>
        <w:gridCol w:w="1980"/>
        <w:gridCol w:w="1980"/>
        <w:gridCol w:w="1980"/>
        <w:gridCol w:w="1980"/>
      </w:tblGrid>
      <w:tr>
        <w:tc>
          <w:tcPr/>
          <w:p>
            <w:pPr>
              <w:pStyle w:val="Compact"/>
              <w:jc w:val="left"/>
            </w:pPr>
            <w:r>
              <w:rPr>
                <w:bCs/>
                <w:b/>
              </w:rPr>
              <w:t xml:space="preserve">Module</w:t>
            </w:r>
            <w:r>
              <w:t xml:space="preserve"> </w:t>
            </w:r>
            <w:r>
              <w:t xml:space="preserve">5</w:t>
            </w:r>
          </w:p>
        </w:tc>
        <w:tc>
          <w:tcPr/>
          <w:p>
            <w:pPr>
              <w:pStyle w:val="Compact"/>
              <w:jc w:val="left"/>
            </w:pPr>
            <w:r>
              <w:rPr>
                <w:bCs/>
                <w:b/>
              </w:rPr>
              <w:t xml:space="preserve">Activity</w:t>
            </w:r>
            <w:r>
              <w:t xml:space="preserve"> </w:t>
            </w:r>
            <w:r>
              <w:t xml:space="preserve">1</w:t>
            </w:r>
          </w:p>
        </w:tc>
        <w:tc>
          <w:tcPr/>
          <w:p>
            <w:pPr>
              <w:pStyle w:val="Compact"/>
              <w:jc w:val="left"/>
            </w:pPr>
            <w:r>
              <w:rPr>
                <w:bCs/>
                <w:b/>
              </w:rPr>
              <w:t xml:space="preserve">Date completed</w:t>
            </w:r>
            <w:r>
              <w:t xml:space="preserve"> </w:t>
            </w:r>
            <w:r>
              <w:t xml:space="preserve">12 Oct 2026</w:t>
            </w:r>
          </w:p>
        </w:tc>
        <w:tc>
          <w:tcPr/>
          <w:p>
            <w:pPr>
              <w:pStyle w:val="Compact"/>
              <w:jc w:val="left"/>
            </w:pPr>
            <w:r>
              <w:rPr>
                <w:bCs/>
                <w:b/>
              </w:rPr>
              <w:t xml:space="preserve">Venture</w:t>
            </w:r>
            <w:r>
              <w:t xml:space="preserve"> </w:t>
            </w:r>
            <w:r>
              <w:t xml:space="preserve">AVERRA</w:t>
            </w:r>
          </w:p>
        </w:tc>
      </w:tr>
      <w:tr>
        <w:tc>
          <w:tcPr>
            <w:gridSpan w:val="4"/>
          </w:tcPr>
          <w:p>
            <w:pPr>
              <w:pStyle w:val="Compact"/>
              <w:jc w:val="left"/>
            </w:pPr>
            <w:r>
              <w:rPr>
                <w:bCs/>
                <w:b/>
              </w:rPr>
              <w:t xml:space="preserve">Evidence status:</w:t>
            </w:r>
            <w:r>
              <w:t xml:space="preserve"> </w:t>
            </w:r>
            <w:r>
              <w:t xml:space="preserve">Completed</w:t>
            </w:r>
          </w:p>
        </w:tc>
      </w:tr>
      <w:tr>
        <w:tc>
          <w:tcPr>
            <w:gridSpan w:val="4"/>
          </w:tcPr>
          <w:p>
            <w:pPr>
              <w:pStyle w:val="Compact"/>
              <w:jc w:val="left"/>
            </w:pPr>
            <w:r>
              <w:t xml:space="preserve">Data note: Policy commitments; no external certification is claimed.</w:t>
            </w:r>
          </w:p>
        </w:tc>
      </w:tr>
    </w:tbl>
    <w:bookmarkEnd w:id="100"/>
    <w:bookmarkStart w:id="101" w:name="X0618f29c4b47fe1fbb26f2e36aa0a0468664eef"/>
    <w:p>
      <w:pPr>
        <w:pStyle w:val="Heading2"/>
      </w:pPr>
      <w:r>
        <w:t xml:space="preserve">1. Stakeholders beyond customers and investors</w:t>
      </w:r>
    </w:p>
    <w:tbl>
      <w:tblPr>
        <w:tblStyle w:val="Table"/>
        <w:tblW w:type="pct" w:w="5000"/>
        <w:tblLook w:firstRow="1" w:lastRow="0" w:firstColumn="0" w:lastColumn="0" w:noHBand="0" w:noVBand="0" w:val="0020"/>
        <w:jc w:val="start"/>
      </w:tblPr>
      <w:tblGrid>
        <w:gridCol w:w="1900"/>
        <w:gridCol w:w="2851"/>
        <w:gridCol w:w="3168"/>
      </w:tblGrid>
      <w:tr>
        <w:trPr>
          <w:tblHeader w:val="true"/>
        </w:trPr>
        <w:tc>
          <w:tcPr/>
          <w:p>
            <w:pPr>
              <w:pStyle w:val="Compact"/>
              <w:jc w:val="left"/>
            </w:pPr>
            <w:r>
              <w:t xml:space="preserve">Stakeholder</w:t>
            </w:r>
          </w:p>
        </w:tc>
        <w:tc>
          <w:tcPr/>
          <w:p>
            <w:pPr>
              <w:pStyle w:val="Compact"/>
              <w:jc w:val="left"/>
            </w:pPr>
            <w:r>
              <w:t xml:space="preserve">How AVERRA affects them</w:t>
            </w:r>
          </w:p>
        </w:tc>
        <w:tc>
          <w:tcPr/>
          <w:p>
            <w:pPr>
              <w:pStyle w:val="Compact"/>
              <w:jc w:val="left"/>
            </w:pPr>
            <w:r>
              <w:t xml:space="preserve">Our commitment</w:t>
            </w:r>
          </w:p>
        </w:tc>
      </w:tr>
      <w:tr>
        <w:tc>
          <w:tcPr/>
          <w:p>
            <w:pPr>
              <w:pStyle w:val="Compact"/>
              <w:jc w:val="left"/>
            </w:pPr>
            <w:r>
              <w:t xml:space="preserve">Caregivers and families</w:t>
            </w:r>
          </w:p>
        </w:tc>
        <w:tc>
          <w:tcPr/>
          <w:p>
            <w:pPr>
              <w:pStyle w:val="Compact"/>
              <w:jc w:val="left"/>
            </w:pPr>
            <w:r>
              <w:t xml:space="preserve">Time and stress at meals; they often pay</w:t>
            </w:r>
          </w:p>
        </w:tc>
        <w:tc>
          <w:tcPr/>
          <w:p>
            <w:pPr>
              <w:pStyle w:val="Compact"/>
              <w:jc w:val="left"/>
            </w:pPr>
            <w:r>
              <w:t xml:space="preserve">Honest claims; rental option; clear return policy</w:t>
            </w:r>
          </w:p>
        </w:tc>
      </w:tr>
      <w:tr>
        <w:tc>
          <w:tcPr/>
          <w:p>
            <w:pPr>
              <w:pStyle w:val="Compact"/>
              <w:jc w:val="left"/>
            </w:pPr>
            <w:r>
              <w:t xml:space="preserve">Clinicians and OT therapists</w:t>
            </w:r>
          </w:p>
        </w:tc>
        <w:tc>
          <w:tcPr/>
          <w:p>
            <w:pPr>
              <w:pStyle w:val="Compact"/>
              <w:jc w:val="left"/>
            </w:pPr>
            <w:r>
              <w:t xml:space="preserve">Referrals carry their reputation</w:t>
            </w:r>
          </w:p>
        </w:tc>
        <w:tc>
          <w:tcPr/>
          <w:p>
            <w:pPr>
              <w:pStyle w:val="Compact"/>
              <w:jc w:val="left"/>
            </w:pPr>
            <w:r>
              <w:t xml:space="preserve">Share study results, including negative ones; no referral kickbacks</w:t>
            </w:r>
          </w:p>
        </w:tc>
      </w:tr>
      <w:tr>
        <w:tc>
          <w:tcPr/>
          <w:p>
            <w:pPr>
              <w:pStyle w:val="Compact"/>
              <w:jc w:val="left"/>
            </w:pPr>
            <w:r>
              <w:t xml:space="preserve">Employees and contractors</w:t>
            </w:r>
          </w:p>
        </w:tc>
        <w:tc>
          <w:tcPr/>
          <w:p>
            <w:pPr>
              <w:pStyle w:val="Compact"/>
              <w:jc w:val="left"/>
            </w:pPr>
            <w:r>
              <w:t xml:space="preserve">Assembly and test work, data access</w:t>
            </w:r>
          </w:p>
        </w:tc>
        <w:tc>
          <w:tcPr/>
          <w:p>
            <w:pPr>
              <w:pStyle w:val="Compact"/>
              <w:jc w:val="left"/>
            </w:pPr>
            <w:r>
              <w:t xml:space="preserve">Fair pay; safety training for battery handling; data-access controls</w:t>
            </w:r>
          </w:p>
        </w:tc>
      </w:tr>
      <w:tr>
        <w:tc>
          <w:tcPr/>
          <w:p>
            <w:pPr>
              <w:pStyle w:val="Compact"/>
              <w:jc w:val="left"/>
            </w:pPr>
            <w:r>
              <w:t xml:space="preserve">Suppliers and contract assembler</w:t>
            </w:r>
          </w:p>
        </w:tc>
        <w:tc>
          <w:tcPr/>
          <w:p>
            <w:pPr>
              <w:pStyle w:val="Compact"/>
              <w:jc w:val="left"/>
            </w:pPr>
            <w:r>
              <w:t xml:space="preserve">Volume, payment terms</w:t>
            </w:r>
          </w:p>
        </w:tc>
        <w:tc>
          <w:tcPr/>
          <w:p>
            <w:pPr>
              <w:pStyle w:val="Compact"/>
              <w:jc w:val="left"/>
            </w:pPr>
            <w:r>
              <w:t xml:space="preserve">Pay within 30 days; no forced price cuts after orders</w:t>
            </w:r>
          </w:p>
        </w:tc>
      </w:tr>
      <w:tr>
        <w:tc>
          <w:tcPr/>
          <w:p>
            <w:pPr>
              <w:pStyle w:val="Compact"/>
              <w:jc w:val="left"/>
            </w:pPr>
            <w:r>
              <w:t xml:space="preserve">Environment</w:t>
            </w:r>
          </w:p>
        </w:tc>
        <w:tc>
          <w:tcPr/>
          <w:p>
            <w:pPr>
              <w:pStyle w:val="Compact"/>
              <w:jc w:val="left"/>
            </w:pPr>
            <w:r>
              <w:t xml:space="preserve">LiPo batteries, electronics, plastic</w:t>
            </w:r>
          </w:p>
        </w:tc>
        <w:tc>
          <w:tcPr/>
          <w:p>
            <w:pPr>
              <w:pStyle w:val="Compact"/>
              <w:jc w:val="left"/>
            </w:pPr>
            <w:r>
              <w:t xml:space="preserve">Take-back and refurbishment programme; RoHS-compliant parts</w:t>
            </w:r>
          </w:p>
        </w:tc>
      </w:tr>
      <w:tr>
        <w:tc>
          <w:tcPr/>
          <w:p>
            <w:pPr>
              <w:pStyle w:val="Compact"/>
              <w:jc w:val="left"/>
            </w:pPr>
            <w:r>
              <w:t xml:space="preserve">Community / research participants</w:t>
            </w:r>
          </w:p>
        </w:tc>
        <w:tc>
          <w:tcPr/>
          <w:p>
            <w:pPr>
              <w:pStyle w:val="Compact"/>
              <w:jc w:val="left"/>
            </w:pPr>
            <w:r>
              <w:t xml:space="preserve">Study participants' health data</w:t>
            </w:r>
          </w:p>
        </w:tc>
        <w:tc>
          <w:tcPr/>
          <w:p>
            <w:pPr>
              <w:pStyle w:val="Compact"/>
              <w:jc w:val="left"/>
            </w:pPr>
            <w:r>
              <w:t xml:space="preserve">Ethics approval, informed consent, data minimisation</w:t>
            </w:r>
          </w:p>
        </w:tc>
      </w:tr>
    </w:tbl>
    <w:bookmarkEnd w:id="101"/>
    <w:bookmarkStart w:id="102" w:name="one-specific-esg-improvement"/>
    <w:p>
      <w:pPr>
        <w:pStyle w:val="Heading2"/>
      </w:pPr>
      <w:r>
        <w:t xml:space="preserve">2. One specific ESG improvement</w:t>
      </w:r>
    </w:p>
    <w:p>
      <w:pPr>
        <w:pStyle w:val="FirstParagraph"/>
      </w:pPr>
      <w:r>
        <w:rPr>
          <w:bCs/>
          <w:b/>
        </w:rPr>
        <w:t xml:space="preserve">Device take-back and refurbishment (environmental + social).</w:t>
      </w:r>
      <w:r>
        <w:t xml:space="preserve"> </w:t>
      </w:r>
      <w:r>
        <w:t xml:space="preserve">Every TremoSense and ParkinSense comes with a prepaid return label at end of life or after a rental ends. Returned units are tested on the same calibration rig, refurbished and re-rented at a lower rate to families who cannot afford ₹9,999; LiPo cells and e-waste go to an authorised recycler under India's E-Waste (Management) Rules 2022. Target: ≥50% of rental units refurbished at least once.</w:t>
      </w:r>
    </w:p>
    <w:bookmarkEnd w:id="102"/>
    <w:bookmarkStart w:id="103" w:name="ethical-red-lines-and-scenario-tests"/>
    <w:p>
      <w:pPr>
        <w:pStyle w:val="Heading2"/>
      </w:pPr>
      <w:r>
        <w:t xml:space="preserve">3. Ethical red lines and scenario tests</w:t>
      </w:r>
    </w:p>
    <w:tbl>
      <w:tblPr>
        <w:tblStyle w:val="Table"/>
        <w:tblW w:type="pct" w:w="5000"/>
        <w:tblLook w:firstRow="1" w:lastRow="0" w:firstColumn="0" w:lastColumn="0" w:noHBand="0" w:noVBand="0" w:val="0020"/>
        <w:jc w:val="start"/>
      </w:tblPr>
      <w:tblGrid>
        <w:gridCol w:w="2376"/>
        <w:gridCol w:w="2534"/>
        <w:gridCol w:w="3009"/>
      </w:tblGrid>
      <w:tr>
        <w:trPr>
          <w:tblHeader w:val="true"/>
        </w:trPr>
        <w:tc>
          <w:tcPr/>
          <w:p>
            <w:pPr>
              <w:pStyle w:val="Compact"/>
              <w:jc w:val="left"/>
            </w:pPr>
            <w:r>
              <w:t xml:space="preserve">Red line</w:t>
            </w:r>
          </w:p>
        </w:tc>
        <w:tc>
          <w:tcPr/>
          <w:p>
            <w:pPr>
              <w:pStyle w:val="Compact"/>
              <w:jc w:val="left"/>
            </w:pPr>
            <w:r>
              <w:t xml:space="preserve">Tempting, realistic scenario</w:t>
            </w:r>
          </w:p>
        </w:tc>
        <w:tc>
          <w:tcPr/>
          <w:p>
            <w:pPr>
              <w:pStyle w:val="Compact"/>
              <w:jc w:val="left"/>
            </w:pPr>
            <w:r>
              <w:t xml:space="preserve">What we do</w:t>
            </w:r>
          </w:p>
        </w:tc>
      </w:tr>
      <w:tr>
        <w:tc>
          <w:tcPr/>
          <w:p>
            <w:pPr>
              <w:pStyle w:val="Compact"/>
              <w:jc w:val="left"/>
            </w:pPr>
            <w:r>
              <w:t xml:space="preserve">We will never claim ParkinSense diagnoses or predicts Parkinson's until clinical results support it</w:t>
            </w:r>
          </w:p>
        </w:tc>
        <w:tc>
          <w:tcPr/>
          <w:p>
            <w:pPr>
              <w:pStyle w:val="Compact"/>
              <w:jc w:val="left"/>
            </w:pPr>
            <w:r>
              <w:t xml:space="preserve">A marketing partner says “early Parkinson's detection” would triple sign-ups</w:t>
            </w:r>
          </w:p>
        </w:tc>
        <w:tc>
          <w:tcPr/>
          <w:p>
            <w:pPr>
              <w:pStyle w:val="Compact"/>
              <w:jc w:val="left"/>
            </w:pPr>
            <w:r>
              <w:t xml:space="preserve">Refuse. Market it as a wellness band with tremor insight; add clinical claims only after ICMR results and regulatory approval</w:t>
            </w:r>
          </w:p>
        </w:tc>
      </w:tr>
      <w:tr>
        <w:tc>
          <w:tcPr/>
          <w:p>
            <w:pPr>
              <w:pStyle w:val="Compact"/>
              <w:jc w:val="left"/>
            </w:pPr>
            <w:r>
              <w:t xml:space="preserve">We will never sell or share identifiable health or movement data</w:t>
            </w:r>
          </w:p>
        </w:tc>
        <w:tc>
          <w:tcPr/>
          <w:p>
            <w:pPr>
              <w:pStyle w:val="Compact"/>
              <w:jc w:val="left"/>
            </w:pPr>
            <w:r>
              <w:t xml:space="preserve">An insurer offers ₹10 L a year for anonymised tremor data</w:t>
            </w:r>
          </w:p>
        </w:tc>
        <w:tc>
          <w:tcPr/>
          <w:p>
            <w:pPr>
              <w:pStyle w:val="Compact"/>
              <w:jc w:val="left"/>
            </w:pPr>
            <w:r>
              <w:t xml:space="preserve">Decline unless users give explicit, separate opt-in consent and the data is genuinely de-identified under India's DPDP Act 2023</w:t>
            </w:r>
          </w:p>
        </w:tc>
      </w:tr>
      <w:tr>
        <w:tc>
          <w:tcPr/>
          <w:p>
            <w:pPr>
              <w:pStyle w:val="Compact"/>
              <w:jc w:val="left"/>
            </w:pPr>
            <w:r>
              <w:t xml:space="preserve">We will never hide or reword a failed validation result</w:t>
            </w:r>
          </w:p>
        </w:tc>
        <w:tc>
          <w:tcPr/>
          <w:p>
            <w:pPr>
              <w:pStyle w:val="Compact"/>
              <w:jc w:val="left"/>
            </w:pPr>
            <w:r>
              <w:t xml:space="preserve">The M6 study shows 35% reduction, below our 50% target, just before tranche 2</w:t>
            </w:r>
          </w:p>
        </w:tc>
        <w:tc>
          <w:tcPr/>
          <w:p>
            <w:pPr>
              <w:pStyle w:val="Compact"/>
              <w:jc w:val="left"/>
            </w:pPr>
            <w:r>
              <w:t xml:space="preserve">Report the result as preregistered, follow the redesign rule, and tell investors before they decide</w:t>
            </w:r>
          </w:p>
        </w:tc>
      </w:tr>
    </w:tbl>
    <w:bookmarkEnd w:id="103"/>
    <w:bookmarkStart w:id="104" w:name="X45a1c8f233085b7578e3a325d59ef568cbfb8f2"/>
    <w:p>
      <w:pPr>
        <w:pStyle w:val="Heading2"/>
      </w:pPr>
      <w:r>
        <w:t xml:space="preserve">4. Responsibilities specific to biomedical wearables and assistive technology</w:t>
      </w:r>
    </w:p>
    <w:p>
      <w:pPr>
        <w:numPr>
          <w:ilvl w:val="0"/>
          <w:numId w:val="1008"/>
        </w:numPr>
        <w:pStyle w:val="Compact"/>
      </w:pPr>
      <w:r>
        <w:rPr>
          <w:bCs/>
          <w:b/>
        </w:rPr>
        <w:t xml:space="preserve">Data privacy:</w:t>
      </w:r>
      <w:r>
        <w:t xml:space="preserve"> </w:t>
      </w:r>
      <w:r>
        <w:t xml:space="preserve">minimal data collection; on-device or encrypted transfer; deletion on request (DPDP Act 2023).</w:t>
      </w:r>
    </w:p>
    <w:p>
      <w:pPr>
        <w:numPr>
          <w:ilvl w:val="0"/>
          <w:numId w:val="1008"/>
        </w:numPr>
        <w:pStyle w:val="Compact"/>
      </w:pPr>
      <w:r>
        <w:rPr>
          <w:bCs/>
          <w:b/>
        </w:rPr>
        <w:t xml:space="preserve">Accessibility:</w:t>
      </w:r>
      <w:r>
        <w:t xml:space="preserve"> </w:t>
      </w:r>
      <w:r>
        <w:t xml:space="preserve">large controls, no small screens to read, caregiver-friendly onboarding, regional-language manuals, rental for affordability.</w:t>
      </w:r>
    </w:p>
    <w:p>
      <w:pPr>
        <w:numPr>
          <w:ilvl w:val="0"/>
          <w:numId w:val="1008"/>
        </w:numPr>
        <w:pStyle w:val="Compact"/>
      </w:pPr>
      <w:r>
        <w:rPr>
          <w:bCs/>
          <w:b/>
        </w:rPr>
        <w:t xml:space="preserve">Truthful claims:</w:t>
      </w:r>
      <w:r>
        <w:t xml:space="preserve"> </w:t>
      </w:r>
      <w:r>
        <w:t xml:space="preserve">“≈90% on a bench simulator (founder-reported)” is never shortened to “90% less tremor”.</w:t>
      </w:r>
    </w:p>
    <w:p>
      <w:pPr>
        <w:numPr>
          <w:ilvl w:val="0"/>
          <w:numId w:val="1008"/>
        </w:numPr>
        <w:pStyle w:val="Compact"/>
      </w:pPr>
      <w:r>
        <w:rPr>
          <w:bCs/>
          <w:b/>
        </w:rPr>
        <w:t xml:space="preserve">Unvalidated features:</w:t>
      </w:r>
      <w:r>
        <w:t xml:space="preserve"> </w:t>
      </w:r>
      <w:r>
        <w:t xml:space="preserve">HR/HRV/SpO₂ are labelled research-grade until validated against reference devices.</w:t>
      </w:r>
    </w:p>
    <w:bookmarkEnd w:id="104"/>
    <w:bookmarkEnd w:id="105"/>
    <w:bookmarkStart w:id="114" w:name="M5.2"/>
    <w:p>
      <w:pPr>
        <w:pStyle w:val="FirstParagraph"/>
      </w:pPr>
      <w:r>
        <w:t xml:space="preserve">M5 · Activity 2 · Mandatory Model M5.2</w:t>
      </w:r>
    </w:p>
    <w:bookmarkStart w:id="106" w:name="live-launch-iteration-report"/>
    <w:p>
      <w:pPr>
        <w:pStyle w:val="Heading1"/>
      </w:pPr>
      <w:r>
        <w:t xml:space="preserve">Live Launch &amp; Iteration Report</w:t>
      </w:r>
    </w:p>
    <w:tbl>
      <w:tblPr>
        <w:tblStyle w:val="Table"/>
        <w:tblW w:type="auto" w:w="0"/>
        <w:tblLook w:firstRow="0" w:lastRow="0" w:firstColumn="0" w:lastColumn="0" w:noHBand="0" w:noVBand="0" w:val="0000"/>
        <w:jc w:val="start"/>
      </w:tblPr>
      <w:tblGrid>
        <w:gridCol w:w="1980"/>
        <w:gridCol w:w="1980"/>
        <w:gridCol w:w="1980"/>
        <w:gridCol w:w="1980"/>
      </w:tblGrid>
      <w:tr>
        <w:tc>
          <w:tcPr/>
          <w:p>
            <w:pPr>
              <w:pStyle w:val="Compact"/>
              <w:jc w:val="left"/>
            </w:pPr>
            <w:r>
              <w:rPr>
                <w:bCs/>
                <w:b/>
              </w:rPr>
              <w:t xml:space="preserve">Module</w:t>
            </w:r>
            <w:r>
              <w:t xml:space="preserve"> </w:t>
            </w:r>
            <w:r>
              <w:t xml:space="preserve">5</w:t>
            </w:r>
          </w:p>
        </w:tc>
        <w:tc>
          <w:tcPr/>
          <w:p>
            <w:pPr>
              <w:pStyle w:val="Compact"/>
              <w:jc w:val="left"/>
            </w:pPr>
            <w:r>
              <w:rPr>
                <w:bCs/>
                <w:b/>
              </w:rPr>
              <w:t xml:space="preserve">Activity</w:t>
            </w:r>
            <w:r>
              <w:t xml:space="preserve"> </w:t>
            </w:r>
            <w:r>
              <w:t xml:space="preserve">2</w:t>
            </w:r>
          </w:p>
        </w:tc>
        <w:tc>
          <w:tcPr/>
          <w:p>
            <w:pPr>
              <w:pStyle w:val="Compact"/>
              <w:jc w:val="left"/>
            </w:pPr>
            <w:r>
              <w:rPr>
                <w:bCs/>
                <w:b/>
              </w:rPr>
              <w:t xml:space="preserve">Date completed</w:t>
            </w:r>
            <w:r>
              <w:t xml:space="preserve"> </w:t>
            </w:r>
            <w:r>
              <w:t xml:space="preserve">14 Oct 2026</w:t>
            </w:r>
          </w:p>
        </w:tc>
        <w:tc>
          <w:tcPr/>
          <w:p>
            <w:pPr>
              <w:pStyle w:val="Compact"/>
              <w:jc w:val="left"/>
            </w:pPr>
            <w:r>
              <w:rPr>
                <w:bCs/>
                <w:b/>
              </w:rPr>
              <w:t xml:space="preserve">Venture</w:t>
            </w:r>
            <w:r>
              <w:t xml:space="preserve"> </w:t>
            </w:r>
            <w:r>
              <w:t xml:space="preserve">AVERRA</w:t>
            </w:r>
          </w:p>
        </w:tc>
      </w:tr>
      <w:tr>
        <w:tc>
          <w:tcPr>
            <w:gridSpan w:val="4"/>
          </w:tcPr>
          <w:p>
            <w:pPr>
              <w:pStyle w:val="Compact"/>
              <w:jc w:val="left"/>
            </w:pPr>
            <w:r>
              <w:rPr>
                <w:bCs/>
                <w:b/>
              </w:rPr>
              <w:t xml:space="preserve">Evidence status:</w:t>
            </w:r>
            <w:r>
              <w:t xml:space="preserve"> </w:t>
            </w:r>
            <w:r>
              <w:t xml:space="preserve">Completed · simulated pilot launch</w:t>
            </w:r>
          </w:p>
        </w:tc>
      </w:tr>
      <w:tr>
        <w:tc>
          <w:tcPr>
            <w:gridSpan w:val="4"/>
          </w:tcPr>
          <w:p>
            <w:pPr>
              <w:pStyle w:val="Compact"/>
              <w:jc w:val="left"/>
            </w:pPr>
            <w:r>
              <w:t xml:space="preserve">Data note: Pilot feedback and iteration results are a simulated case study consistent with M2.2 and M4.2.</w:t>
            </w:r>
          </w:p>
        </w:tc>
      </w:tr>
    </w:tbl>
    <w:bookmarkEnd w:id="106"/>
    <w:p>
      <w:pPr>
        <w:pStyle w:val="BodyText"/>
      </w:pPr>
      <w:r>
        <w:t xml:space="preserve">Simulated case study: a 4-week semester pilot with 5 users of the current prototype across two clinics, 15 Sep – 12 Oct 2026, run on the M2.2 protocol. The funded launch plan follows in section 5.</w:t>
      </w:r>
    </w:p>
    <w:bookmarkStart w:id="107" w:name="pilot-launch-plan"/>
    <w:p>
      <w:pPr>
        <w:pStyle w:val="Heading2"/>
      </w:pPr>
      <w:r>
        <w:t xml:space="preserve">1. Pilot-launch plan</w:t>
      </w:r>
    </w:p>
    <w:tbl>
      <w:tblPr>
        <w:tblStyle w:val="Table"/>
        <w:tblW w:type="pct" w:w="5000"/>
        <w:tblLook w:firstRow="1" w:lastRow="0" w:firstColumn="0" w:lastColumn="0" w:noHBand="0" w:noVBand="0" w:val="0020"/>
        <w:jc w:val="start"/>
      </w:tblPr>
      <w:tblGrid>
        <w:gridCol w:w="1900"/>
        <w:gridCol w:w="6019"/>
      </w:tblGrid>
      <w:tr>
        <w:trPr>
          <w:tblHeader w:val="true"/>
        </w:trPr>
        <w:tc>
          <w:tcPr/>
          <w:p>
            <w:pPr>
              <w:pStyle w:val="Compact"/>
              <w:jc w:val="left"/>
            </w:pPr>
            <w:r>
              <w:t xml:space="preserve">Item</w:t>
            </w:r>
          </w:p>
        </w:tc>
        <w:tc>
          <w:tcPr/>
          <w:p>
            <w:pPr>
              <w:pStyle w:val="Compact"/>
              <w:jc w:val="left"/>
            </w:pPr>
            <w:r>
              <w:t xml:space="preserve">Plan</w:t>
            </w:r>
          </w:p>
        </w:tc>
      </w:tr>
      <w:tr>
        <w:tc>
          <w:tcPr/>
          <w:p>
            <w:pPr>
              <w:pStyle w:val="Compact"/>
              <w:jc w:val="left"/>
            </w:pPr>
            <w:r>
              <w:t xml:space="preserve">What</w:t>
            </w:r>
          </w:p>
        </w:tc>
        <w:tc>
          <w:tcPr/>
          <w:p>
            <w:pPr>
              <w:pStyle w:val="Compact"/>
              <w:jc w:val="left"/>
            </w:pPr>
            <w:r>
              <w:t xml:space="preserve">Semester pilot: 5 users, current prototype, supervised meals (Sep–Oct 2026). Funded pilot: 12 study units after ethics approval (M5–M6 of the plan)</w:t>
            </w:r>
          </w:p>
        </w:tc>
      </w:tr>
      <w:tr>
        <w:tc>
          <w:tcPr/>
          <w:p>
            <w:pPr>
              <w:pStyle w:val="Compact"/>
              <w:jc w:val="left"/>
            </w:pPr>
            <w:r>
              <w:t xml:space="preserve">Who</w:t>
            </w:r>
          </w:p>
        </w:tc>
        <w:tc>
          <w:tcPr/>
          <w:p>
            <w:pPr>
              <w:pStyle w:val="Compact"/>
              <w:jc w:val="left"/>
            </w:pPr>
            <w:r>
              <w:t xml:space="preserve">Semester: 5 adults with tremor and their caregivers via 2 clinics. Funded: ≥10 via 2–3 neurology/OT clinics</w:t>
            </w:r>
          </w:p>
        </w:tc>
      </w:tr>
      <w:tr>
        <w:tc>
          <w:tcPr/>
          <w:p>
            <w:pPr>
              <w:pStyle w:val="Compact"/>
              <w:jc w:val="left"/>
            </w:pPr>
            <w:r>
              <w:t xml:space="preserve">How long</w:t>
            </w:r>
          </w:p>
        </w:tc>
        <w:tc>
          <w:tcPr/>
          <w:p>
            <w:pPr>
              <w:pStyle w:val="Compact"/>
              <w:jc w:val="left"/>
            </w:pPr>
            <w:r>
              <w:t xml:space="preserve">4 weeks</w:t>
            </w:r>
          </w:p>
        </w:tc>
      </w:tr>
      <w:tr>
        <w:tc>
          <w:tcPr/>
          <w:p>
            <w:pPr>
              <w:pStyle w:val="Compact"/>
              <w:jc w:val="left"/>
            </w:pPr>
            <w:r>
              <w:t xml:space="preserve">Feedback channels</w:t>
            </w:r>
          </w:p>
        </w:tc>
        <w:tc>
          <w:tcPr/>
          <w:p>
            <w:pPr>
              <w:pStyle w:val="Compact"/>
              <w:jc w:val="left"/>
            </w:pPr>
            <w:r>
              <w:t xml:space="preserve">Session interview, 7-day WhatsApp check-in, short exit questionnaire</w:t>
            </w:r>
          </w:p>
        </w:tc>
      </w:tr>
      <w:tr>
        <w:tc>
          <w:tcPr/>
          <w:p>
            <w:pPr>
              <w:pStyle w:val="Compact"/>
              <w:jc w:val="left"/>
            </w:pPr>
            <w:r>
              <w:t xml:space="preserve">Decision rule</w:t>
            </w:r>
          </w:p>
        </w:tc>
        <w:tc>
          <w:tcPr/>
          <w:p>
            <w:pPr>
              <w:pStyle w:val="Compact"/>
              <w:jc w:val="left"/>
            </w:pPr>
            <w:r>
              <w:t xml:space="preserve">Same preregistered thresholds as M2.2</w:t>
            </w:r>
          </w:p>
        </w:tc>
      </w:tr>
    </w:tbl>
    <w:bookmarkEnd w:id="107"/>
    <w:bookmarkStart w:id="108" w:name="evidence-template"/>
    <w:p>
      <w:pPr>
        <w:pStyle w:val="Heading2"/>
      </w:pPr>
      <w:r>
        <w:t xml:space="preserve">2. Evidence template</w:t>
      </w:r>
    </w:p>
    <w:tbl>
      <w:tblPr>
        <w:tblStyle w:val="Table"/>
        <w:tblW w:type="pct" w:w="5000"/>
        <w:tblLook w:firstRow="1" w:lastRow="0" w:firstColumn="0" w:lastColumn="0" w:noHBand="0" w:noVBand="0" w:val="0020"/>
        <w:jc w:val="start"/>
      </w:tblPr>
      <w:tblGrid>
        <w:gridCol w:w="396"/>
        <w:gridCol w:w="950"/>
        <w:gridCol w:w="1425"/>
        <w:gridCol w:w="3564"/>
        <w:gridCol w:w="1584"/>
      </w:tblGrid>
      <w:tr>
        <w:trPr>
          <w:tblHeader w:val="true"/>
        </w:trPr>
        <w:tc>
          <w:tcPr/>
          <w:p>
            <w:pPr>
              <w:pStyle w:val="Compact"/>
              <w:jc w:val="left"/>
            </w:pPr>
            <w:r>
              <w:t xml:space="preserve">#</w:t>
            </w:r>
          </w:p>
        </w:tc>
        <w:tc>
          <w:tcPr/>
          <w:p>
            <w:pPr>
              <w:pStyle w:val="Compact"/>
              <w:jc w:val="left"/>
            </w:pPr>
            <w:r>
              <w:t xml:space="preserve">Date</w:t>
            </w:r>
          </w:p>
        </w:tc>
        <w:tc>
          <w:tcPr/>
          <w:p>
            <w:pPr>
              <w:pStyle w:val="Compact"/>
              <w:jc w:val="left"/>
            </w:pPr>
            <w:r>
              <w:t xml:space="preserve">User type</w:t>
            </w:r>
          </w:p>
        </w:tc>
        <w:tc>
          <w:tcPr/>
          <w:p>
            <w:pPr>
              <w:pStyle w:val="Compact"/>
              <w:jc w:val="left"/>
            </w:pPr>
            <w:r>
              <w:t xml:space="preserve">Feedback (simulated)</w:t>
            </w:r>
          </w:p>
        </w:tc>
        <w:tc>
          <w:tcPr/>
          <w:p>
            <w:pPr>
              <w:pStyle w:val="Compact"/>
              <w:jc w:val="left"/>
            </w:pPr>
            <w:r>
              <w:t xml:space="preserve">Theme</w:t>
            </w:r>
          </w:p>
        </w:tc>
      </w:tr>
      <w:tr>
        <w:tc>
          <w:tcPr/>
          <w:p>
            <w:pPr>
              <w:pStyle w:val="Compact"/>
              <w:jc w:val="left"/>
            </w:pPr>
            <w:r>
              <w:t xml:space="preserve">1</w:t>
            </w:r>
          </w:p>
        </w:tc>
        <w:tc>
          <w:tcPr/>
          <w:p>
            <w:pPr>
              <w:pStyle w:val="Compact"/>
              <w:jc w:val="left"/>
            </w:pPr>
            <w:r>
              <w:t xml:space="preserve">21 Sep 2026</w:t>
            </w:r>
          </w:p>
        </w:tc>
        <w:tc>
          <w:tcPr/>
          <w:p>
            <w:pPr>
              <w:pStyle w:val="Compact"/>
              <w:jc w:val="left"/>
            </w:pPr>
            <w:r>
              <w:t xml:space="preserve">Man, 69, PD</w:t>
            </w:r>
          </w:p>
        </w:tc>
        <w:tc>
          <w:tcPr/>
          <w:p>
            <w:pPr>
              <w:pStyle w:val="Compact"/>
              <w:jc w:val="left"/>
            </w:pPr>
            <w:r>
              <w:t xml:space="preserve">“The food stays on the spoon now. But my hand gets tired holding it.”</w:t>
            </w:r>
          </w:p>
        </w:tc>
        <w:tc>
          <w:tcPr/>
          <w:p>
            <w:pPr>
              <w:pStyle w:val="Compact"/>
              <w:jc w:val="left"/>
            </w:pPr>
            <w:r>
              <w:t xml:space="preserve">Weight</w:t>
            </w:r>
          </w:p>
        </w:tc>
      </w:tr>
      <w:tr>
        <w:tc>
          <w:tcPr/>
          <w:p>
            <w:pPr>
              <w:pStyle w:val="Compact"/>
              <w:jc w:val="left"/>
            </w:pPr>
            <w:r>
              <w:t xml:space="preserve">2</w:t>
            </w:r>
          </w:p>
        </w:tc>
        <w:tc>
          <w:tcPr/>
          <w:p>
            <w:pPr>
              <w:pStyle w:val="Compact"/>
              <w:jc w:val="left"/>
            </w:pPr>
            <w:r>
              <w:t xml:space="preserve">22 Sep 2026</w:t>
            </w:r>
          </w:p>
        </w:tc>
        <w:tc>
          <w:tcPr/>
          <w:p>
            <w:pPr>
              <w:pStyle w:val="Compact"/>
              <w:jc w:val="left"/>
            </w:pPr>
            <w:r>
              <w:t xml:space="preserve">Caregiver, daughter</w:t>
            </w:r>
          </w:p>
        </w:tc>
        <w:tc>
          <w:tcPr/>
          <w:p>
            <w:pPr>
              <w:pStyle w:val="Compact"/>
              <w:jc w:val="left"/>
            </w:pPr>
            <w:r>
              <w:t xml:space="preserve">“He finished his whole plate without me helping. First time in months.”</w:t>
            </w:r>
          </w:p>
        </w:tc>
        <w:tc>
          <w:tcPr/>
          <w:p>
            <w:pPr>
              <w:pStyle w:val="Compact"/>
              <w:jc w:val="left"/>
            </w:pPr>
            <w:r>
              <w:t xml:space="preserve">Independence</w:t>
            </w:r>
          </w:p>
        </w:tc>
      </w:tr>
      <w:tr>
        <w:tc>
          <w:tcPr/>
          <w:p>
            <w:pPr>
              <w:pStyle w:val="Compact"/>
              <w:jc w:val="left"/>
            </w:pPr>
            <w:r>
              <w:t xml:space="preserve">3</w:t>
            </w:r>
          </w:p>
        </w:tc>
        <w:tc>
          <w:tcPr/>
          <w:p>
            <w:pPr>
              <w:pStyle w:val="Compact"/>
              <w:jc w:val="left"/>
            </w:pPr>
            <w:r>
              <w:t xml:space="preserve">24 Sep 2026</w:t>
            </w:r>
          </w:p>
        </w:tc>
        <w:tc>
          <w:tcPr/>
          <w:p>
            <w:pPr>
              <w:pStyle w:val="Compact"/>
              <w:jc w:val="left"/>
            </w:pPr>
            <w:r>
              <w:t xml:space="preserve">Woman, 66, ET</w:t>
            </w:r>
          </w:p>
        </w:tc>
        <w:tc>
          <w:tcPr/>
          <w:p>
            <w:pPr>
              <w:pStyle w:val="Compact"/>
              <w:jc w:val="left"/>
            </w:pPr>
            <w:r>
              <w:t xml:space="preserve">“It is a little heavy, and I wasn't sure when it was switched on.”</w:t>
            </w:r>
          </w:p>
        </w:tc>
        <w:tc>
          <w:tcPr/>
          <w:p>
            <w:pPr>
              <w:pStyle w:val="Compact"/>
              <w:jc w:val="left"/>
            </w:pPr>
            <w:r>
              <w:t xml:space="preserve">Weight; status light</w:t>
            </w:r>
          </w:p>
        </w:tc>
      </w:tr>
      <w:tr>
        <w:tc>
          <w:tcPr/>
          <w:p>
            <w:pPr>
              <w:pStyle w:val="Compact"/>
              <w:jc w:val="left"/>
            </w:pPr>
            <w:r>
              <w:t xml:space="preserve">4</w:t>
            </w:r>
          </w:p>
        </w:tc>
        <w:tc>
          <w:tcPr/>
          <w:p>
            <w:pPr>
              <w:pStyle w:val="Compact"/>
              <w:jc w:val="left"/>
            </w:pPr>
            <w:r>
              <w:t xml:space="preserve">26 Sep 2026</w:t>
            </w:r>
          </w:p>
        </w:tc>
        <w:tc>
          <w:tcPr/>
          <w:p>
            <w:pPr>
              <w:pStyle w:val="Compact"/>
              <w:jc w:val="left"/>
            </w:pPr>
            <w:r>
              <w:t xml:space="preserve">OT therapist</w:t>
            </w:r>
          </w:p>
        </w:tc>
        <w:tc>
          <w:tcPr/>
          <w:p>
            <w:pPr>
              <w:pStyle w:val="Compact"/>
              <w:jc w:val="left"/>
            </w:pPr>
            <w:r>
              <w:t xml:space="preserve">“Patients need a clear on/off light and a lighter handle.”</w:t>
            </w:r>
          </w:p>
        </w:tc>
        <w:tc>
          <w:tcPr/>
          <w:p>
            <w:pPr>
              <w:pStyle w:val="Compact"/>
              <w:jc w:val="left"/>
            </w:pPr>
            <w:r>
              <w:t xml:space="preserve">Weight; status light</w:t>
            </w:r>
          </w:p>
        </w:tc>
      </w:tr>
      <w:tr>
        <w:tc>
          <w:tcPr/>
          <w:p>
            <w:pPr>
              <w:pStyle w:val="Compact"/>
              <w:jc w:val="left"/>
            </w:pPr>
            <w:r>
              <w:t xml:space="preserve">5</w:t>
            </w:r>
          </w:p>
        </w:tc>
        <w:tc>
          <w:tcPr/>
          <w:p>
            <w:pPr>
              <w:pStyle w:val="Compact"/>
              <w:jc w:val="left"/>
            </w:pPr>
            <w:r>
              <w:t xml:space="preserve">28 Sep 2026</w:t>
            </w:r>
          </w:p>
        </w:tc>
        <w:tc>
          <w:tcPr/>
          <w:p>
            <w:pPr>
              <w:pStyle w:val="Compact"/>
              <w:jc w:val="left"/>
            </w:pPr>
            <w:r>
              <w:t xml:space="preserve">Man, 72, PD</w:t>
            </w:r>
          </w:p>
        </w:tc>
        <w:tc>
          <w:tcPr/>
          <w:p>
            <w:pPr>
              <w:pStyle w:val="Compact"/>
              <w:jc w:val="left"/>
            </w:pPr>
            <w:r>
              <w:t xml:space="preserve">“Charging every night is fine if it lasts through dinner.”</w:t>
            </w:r>
          </w:p>
        </w:tc>
        <w:tc>
          <w:tcPr/>
          <w:p>
            <w:pPr>
              <w:pStyle w:val="Compact"/>
              <w:jc w:val="left"/>
            </w:pPr>
            <w:r>
              <w:t xml:space="preserve">Battery</w:t>
            </w:r>
          </w:p>
        </w:tc>
      </w:tr>
    </w:tbl>
    <w:p/>
    <w:tbl>
      <w:tblPr>
        <w:tblStyle w:val="Table"/>
        <w:tblW w:type="pct" w:w="5000"/>
        <w:tblLook w:firstRow="1" w:lastRow="0" w:firstColumn="0" w:lastColumn="0" w:noHBand="0" w:noVBand="0" w:val="0020"/>
        <w:jc w:val="start"/>
      </w:tblPr>
      <w:tblGrid>
        <w:gridCol w:w="1742"/>
        <w:gridCol w:w="950"/>
        <w:gridCol w:w="2692"/>
        <w:gridCol w:w="2534"/>
      </w:tblGrid>
      <w:tr>
        <w:trPr>
          <w:tblHeader w:val="true"/>
        </w:trPr>
        <w:tc>
          <w:tcPr/>
          <w:p>
            <w:pPr>
              <w:pStyle w:val="Compact"/>
              <w:jc w:val="left"/>
            </w:pPr>
            <w:r>
              <w:t xml:space="preserve">Recurring theme</w:t>
            </w:r>
          </w:p>
        </w:tc>
        <w:tc>
          <w:tcPr/>
          <w:p>
            <w:pPr>
              <w:pStyle w:val="Compact"/>
              <w:jc w:val="left"/>
            </w:pPr>
            <w:r>
              <w:t xml:space="preserve">How many users</w:t>
            </w:r>
          </w:p>
        </w:tc>
        <w:tc>
          <w:tcPr/>
          <w:p>
            <w:pPr>
              <w:pStyle w:val="Compact"/>
              <w:jc w:val="left"/>
            </w:pPr>
            <w:r>
              <w:t xml:space="preserve">Change we made</w:t>
            </w:r>
          </w:p>
        </w:tc>
        <w:tc>
          <w:tcPr/>
          <w:p>
            <w:pPr>
              <w:pStyle w:val="Compact"/>
              <w:jc w:val="left"/>
            </w:pPr>
            <w:r>
              <w:t xml:space="preserve">What happened after</w:t>
            </w:r>
          </w:p>
        </w:tc>
      </w:tr>
      <w:tr>
        <w:tc>
          <w:tcPr/>
          <w:p>
            <w:pPr>
              <w:pStyle w:val="Compact"/>
              <w:jc w:val="left"/>
            </w:pPr>
            <w:r>
              <w:t xml:space="preserve">Handle too heavy</w:t>
            </w:r>
          </w:p>
        </w:tc>
        <w:tc>
          <w:tcPr/>
          <w:p>
            <w:pPr>
              <w:pStyle w:val="Compact"/>
              <w:jc w:val="left"/>
            </w:pPr>
            <w:r>
              <w:t xml:space="preserve">3 of 5</w:t>
            </w:r>
          </w:p>
        </w:tc>
        <w:tc>
          <w:tcPr/>
          <w:p>
            <w:pPr>
              <w:pStyle w:val="Compact"/>
              <w:jc w:val="left"/>
            </w:pPr>
            <w:r>
              <w:t xml:space="preserve">Moved the battery lower in the handle and switched to a lighter boost board: 182 g → 164 g</w:t>
            </w:r>
          </w:p>
        </w:tc>
        <w:tc>
          <w:tcPr/>
          <w:p>
            <w:pPr>
              <w:pStyle w:val="Compact"/>
              <w:jc w:val="left"/>
            </w:pPr>
            <w:r>
              <w:t xml:space="preserve">Re-test with 4 of the 5 users on 5 Oct: 3 of 4 preferred the new handle; none reported tiredness in a 15-minute meal</w:t>
            </w:r>
          </w:p>
        </w:tc>
      </w:tr>
      <w:tr>
        <w:tc>
          <w:tcPr/>
          <w:p>
            <w:pPr>
              <w:pStyle w:val="Compact"/>
              <w:jc w:val="left"/>
            </w:pPr>
            <w:r>
              <w:t xml:space="preserve">Unclear on/off state</w:t>
            </w:r>
          </w:p>
        </w:tc>
        <w:tc>
          <w:tcPr/>
          <w:p>
            <w:pPr>
              <w:pStyle w:val="Compact"/>
              <w:jc w:val="left"/>
            </w:pPr>
            <w:r>
              <w:t xml:space="preserve">2 of 5</w:t>
            </w:r>
          </w:p>
        </w:tc>
        <w:tc>
          <w:tcPr/>
          <w:p>
            <w:pPr>
              <w:pStyle w:val="Compact"/>
              <w:jc w:val="left"/>
            </w:pPr>
            <w:r>
              <w:t xml:space="preserve">Added a green status LED</w:t>
            </w:r>
          </w:p>
        </w:tc>
        <w:tc>
          <w:tcPr/>
          <w:p>
            <w:pPr>
              <w:pStyle w:val="Compact"/>
              <w:jc w:val="left"/>
            </w:pPr>
            <w:r>
              <w:t xml:space="preserve">No more confusion reported</w:t>
            </w:r>
          </w:p>
        </w:tc>
      </w:tr>
    </w:tbl>
    <w:bookmarkEnd w:id="108"/>
    <w:bookmarkStart w:id="109" w:name="crisis-and-contingency-plan"/>
    <w:p>
      <w:pPr>
        <w:pStyle w:val="Heading2"/>
      </w:pPr>
      <w:r>
        <w:t xml:space="preserve">3. Crisis and contingency plan</w:t>
      </w:r>
    </w:p>
    <w:tbl>
      <w:tblPr>
        <w:tblStyle w:val="Table"/>
        <w:tblW w:type="pct" w:w="5000"/>
        <w:tblLook w:firstRow="1" w:lastRow="0" w:firstColumn="0" w:lastColumn="0" w:noHBand="0" w:noVBand="0" w:val="0020"/>
        <w:jc w:val="start"/>
      </w:tblPr>
      <w:tblGrid>
        <w:gridCol w:w="2376"/>
        <w:gridCol w:w="1108"/>
        <w:gridCol w:w="1267"/>
        <w:gridCol w:w="3168"/>
      </w:tblGrid>
      <w:tr>
        <w:trPr>
          <w:tblHeader w:val="true"/>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Response</w:t>
            </w:r>
          </w:p>
        </w:tc>
      </w:tr>
      <w:tr>
        <w:tc>
          <w:tcPr/>
          <w:p>
            <w:pPr>
              <w:pStyle w:val="Compact"/>
              <w:jc w:val="left"/>
            </w:pPr>
            <w:r>
              <w:t xml:space="preserve">A servo or battery failure during a meal (spill, burn risk from food, or overheating)</w:t>
            </w:r>
          </w:p>
        </w:tc>
        <w:tc>
          <w:tcPr/>
          <w:p>
            <w:pPr>
              <w:pStyle w:val="Compact"/>
              <w:jc w:val="left"/>
            </w:pPr>
            <w:r>
              <w:t xml:space="preserve">Medium during the pilot</w:t>
            </w:r>
          </w:p>
        </w:tc>
        <w:tc>
          <w:tcPr/>
          <w:p>
            <w:pPr>
              <w:pStyle w:val="Compact"/>
              <w:jc w:val="left"/>
            </w:pPr>
            <w:r>
              <w:t xml:space="preserve">High (user safety, clinic trust)</w:t>
            </w:r>
          </w:p>
        </w:tc>
        <w:tc>
          <w:tcPr/>
          <w:p>
            <w:pPr>
              <w:pStyle w:val="Compact"/>
              <w:jc w:val="left"/>
            </w:pPr>
            <w:r>
              <w:t xml:space="preserve">Mechanical end-stops limit head travel; thermal cut-off in firmware; supervised first use; stop-use notice and replacement within 48 h; incident log reviewed with the clinic; pause the pilot if two incidents occur</w:t>
            </w:r>
          </w:p>
        </w:tc>
      </w:tr>
      <w:tr>
        <w:tc>
          <w:tcPr/>
          <w:p>
            <w:pPr>
              <w:pStyle w:val="Compact"/>
              <w:jc w:val="left"/>
            </w:pPr>
            <w:r>
              <w:t xml:space="preserve">Tranche 2 closes late</w:t>
            </w:r>
          </w:p>
        </w:tc>
        <w:tc>
          <w:tcPr/>
          <w:p>
            <w:pPr>
              <w:pStyle w:val="Compact"/>
              <w:jc w:val="left"/>
            </w:pPr>
            <w:r>
              <w:t xml:space="preserve">Medium</w:t>
            </w:r>
          </w:p>
        </w:tc>
        <w:tc>
          <w:tcPr/>
          <w:p>
            <w:pPr>
              <w:pStyle w:val="Compact"/>
              <w:jc w:val="left"/>
            </w:pPr>
            <w:r>
              <w:t xml:space="preserve">High (zero-cash M7)</w:t>
            </w:r>
          </w:p>
        </w:tc>
        <w:tc>
          <w:tcPr/>
          <w:p>
            <w:pPr>
              <w:pStyle w:val="Compact"/>
              <w:jc w:val="left"/>
            </w:pPr>
            <w:r>
              <w:t xml:space="preserve">Pause hiring, inventory and testing; defer stipends; buffer lasts to ≈M14</w:t>
            </w:r>
          </w:p>
        </w:tc>
      </w:tr>
    </w:tbl>
    <w:bookmarkEnd w:id="109"/>
    <w:bookmarkStart w:id="110" w:name="continue-kill-call"/>
    <w:p>
      <w:pPr>
        <w:pStyle w:val="Heading2"/>
      </w:pPr>
      <w:r>
        <w:t xml:space="preserve">4. Continue / kill call</w:t>
      </w:r>
    </w:p>
    <w:p>
      <w:pPr>
        <w:pStyle w:val="FirstParagraph"/>
      </w:pPr>
      <w:r>
        <w:rPr>
          <w:bCs/>
          <w:b/>
        </w:rPr>
        <w:t xml:space="preserve">CONTINUE.</w:t>
      </w:r>
      <w:r>
        <w:t xml:space="preserve"> </w:t>
      </w:r>
      <w:r>
        <w:t xml:space="preserve">In the simulated pilot, users needed less help at meals, the main complaint (weight) was fixed and re-tested, and 3 of 5 caregivers left refundable deposits. The decision is provisional until the funded n ≥ 10 study.</w:t>
      </w:r>
    </w:p>
    <w:bookmarkEnd w:id="110"/>
    <w:bookmarkStart w:id="111" w:name="X3a3f859d076db858895794d5d986c824905c035"/>
    <w:p>
      <w:pPr>
        <w:pStyle w:val="Heading2"/>
      </w:pPr>
      <w:r>
        <w:t xml:space="preserve">5. Funded launch plan (from the financial model)</w:t>
      </w:r>
    </w:p>
    <w:tbl>
      <w:tblPr>
        <w:tblStyle w:val="Table"/>
        <w:tblW w:type="pct" w:w="5000"/>
        <w:tblLook w:firstRow="1" w:lastRow="0" w:firstColumn="0" w:lastColumn="0" w:noHBand="0" w:noVBand="0" w:val="0020"/>
        <w:jc w:val="start"/>
      </w:tblPr>
      <w:tblGrid>
        <w:gridCol w:w="1267"/>
        <w:gridCol w:w="3484"/>
        <w:gridCol w:w="1584"/>
        <w:gridCol w:w="1584"/>
      </w:tblGrid>
      <w:tr>
        <w:trPr>
          <w:tblHeader w:val="true"/>
        </w:trPr>
        <w:tc>
          <w:tcPr/>
          <w:p>
            <w:pPr>
              <w:pStyle w:val="Compact"/>
              <w:jc w:val="left"/>
            </w:pPr>
            <w:r>
              <w:t xml:space="preserve">When</w:t>
            </w:r>
          </w:p>
        </w:tc>
        <w:tc>
          <w:tcPr/>
          <w:p>
            <w:pPr>
              <w:pStyle w:val="Compact"/>
              <w:jc w:val="left"/>
            </w:pPr>
            <w:r>
              <w:t xml:space="preserve">Launch step</w:t>
            </w:r>
          </w:p>
        </w:tc>
        <w:tc>
          <w:tcPr/>
          <w:p>
            <w:pPr>
              <w:pStyle w:val="Compact"/>
              <w:jc w:val="left"/>
            </w:pPr>
            <w:r>
              <w:t xml:space="preserve">Budget (model)</w:t>
            </w:r>
          </w:p>
        </w:tc>
        <w:tc>
          <w:tcPr/>
          <w:p>
            <w:pPr>
              <w:pStyle w:val="Compact"/>
              <w:jc w:val="left"/>
            </w:pPr>
            <w:r>
              <w:t xml:space="preserve">KPI</w:t>
            </w:r>
          </w:p>
        </w:tc>
      </w:tr>
      <w:tr>
        <w:tc>
          <w:tcPr/>
          <w:p>
            <w:pPr>
              <w:pStyle w:val="Compact"/>
              <w:jc w:val="left"/>
            </w:pPr>
            <w:r>
              <w:t xml:space="preserve">M6 (Dec 2027)</w:t>
            </w:r>
          </w:p>
        </w:tc>
        <w:tc>
          <w:tcPr/>
          <w:p>
            <w:pPr>
              <w:pStyle w:val="Compact"/>
              <w:jc w:val="left"/>
            </w:pPr>
            <w:r>
              <w:t xml:space="preserve">Preregistered user study, n ≥ 10</w:t>
            </w:r>
          </w:p>
        </w:tc>
        <w:tc>
          <w:tcPr/>
          <w:p>
            <w:pPr>
              <w:pStyle w:val="Compact"/>
              <w:jc w:val="left"/>
            </w:pPr>
            <w:r>
              <w:t xml:space="preserve">₹1.00 L study + ₹0.58 L units</w:t>
            </w:r>
          </w:p>
        </w:tc>
        <w:tc>
          <w:tcPr/>
          <w:p>
            <w:pPr>
              <w:pStyle w:val="Compact"/>
              <w:jc w:val="left"/>
            </w:pPr>
            <w:r>
              <w:t xml:space="preserve">Median reduction ≥50%; ≥60% would pay</w:t>
            </w:r>
          </w:p>
        </w:tc>
      </w:tr>
      <w:tr>
        <w:tc>
          <w:tcPr/>
          <w:p>
            <w:pPr>
              <w:pStyle w:val="Compact"/>
              <w:jc w:val="left"/>
            </w:pPr>
            <w:r>
              <w:t xml:space="preserve">M9–M11</w:t>
            </w:r>
          </w:p>
        </w:tc>
        <w:tc>
          <w:tcPr/>
          <w:p>
            <w:pPr>
              <w:pStyle w:val="Compact"/>
              <w:jc w:val="left"/>
            </w:pPr>
            <w:r>
              <w:t xml:space="preserve">EMC pre-compliance, CDSCO filing, 100-unit pilot batch</w:t>
            </w:r>
          </w:p>
        </w:tc>
        <w:tc>
          <w:tcPr/>
          <w:p>
            <w:pPr>
              <w:pStyle w:val="Compact"/>
              <w:jc w:val="left"/>
            </w:pPr>
            <w:r>
              <w:t xml:space="preserve">Regulatory ₹6.30 L (Phase 2)</w:t>
            </w:r>
          </w:p>
        </w:tc>
        <w:tc>
          <w:tcPr/>
          <w:p>
            <w:pPr>
              <w:pStyle w:val="Compact"/>
              <w:jc w:val="left"/>
            </w:pPr>
            <w:r>
              <w:t xml:space="preserve">Filing submitted; batch yield ≥95%</w:t>
            </w:r>
          </w:p>
        </w:tc>
      </w:tr>
      <w:tr>
        <w:tc>
          <w:tcPr/>
          <w:p>
            <w:pPr>
              <w:pStyle w:val="Compact"/>
              <w:jc w:val="left"/>
            </w:pPr>
            <w:r>
              <w:t xml:space="preserve">M12 (Jun 2028)</w:t>
            </w:r>
          </w:p>
        </w:tc>
        <w:tc>
          <w:tcPr/>
          <w:p>
            <w:pPr>
              <w:pStyle w:val="Compact"/>
              <w:jc w:val="left"/>
            </w:pPr>
            <w:r>
              <w:t xml:space="preserve">First TremoSense sales through clinics</w:t>
            </w:r>
          </w:p>
        </w:tc>
        <w:tc>
          <w:tcPr/>
          <w:p>
            <w:pPr>
              <w:pStyle w:val="Compact"/>
              <w:jc w:val="left"/>
            </w:pPr>
            <w:r>
              <w:t xml:space="preserve">Outreach ₹3.15 L (Phase 2)</w:t>
            </w:r>
          </w:p>
        </w:tc>
        <w:tc>
          <w:tcPr/>
          <w:p>
            <w:pPr>
              <w:pStyle w:val="Compact"/>
              <w:jc w:val="left"/>
            </w:pPr>
            <w:r>
              <w:t xml:space="preserve">15 units in Year 1; CAC ≤ ₹1,079</w:t>
            </w:r>
          </w:p>
        </w:tc>
      </w:tr>
      <w:tr>
        <w:tc>
          <w:tcPr/>
          <w:p>
            <w:pPr>
              <w:pStyle w:val="Compact"/>
              <w:jc w:val="left"/>
            </w:pPr>
            <w:r>
              <w:t xml:space="preserve">M19–M23</w:t>
            </w:r>
          </w:p>
        </w:tc>
        <w:tc>
          <w:tcPr/>
          <w:p>
            <w:pPr>
              <w:pStyle w:val="Compact"/>
              <w:jc w:val="left"/>
            </w:pPr>
            <w:r>
              <w:t xml:space="preserve">Clinic network to 30 clinics; price to ₹8,999 after verified cost cut</w:t>
            </w:r>
          </w:p>
        </w:tc>
        <w:tc>
          <w:tcPr/>
          <w:p>
            <w:pPr>
              <w:pStyle w:val="Compact"/>
              <w:jc w:val="left"/>
            </w:pPr>
            <w:r>
              <w:t xml:space="preserve">Sales lead + support hires</w:t>
            </w:r>
          </w:p>
        </w:tc>
        <w:tc>
          <w:tcPr/>
          <w:p>
            <w:pPr>
              <w:pStyle w:val="Compact"/>
              <w:jc w:val="left"/>
            </w:pPr>
            <w:r>
              <w:t xml:space="preserve">Break-even M23 (May 2029)</w:t>
            </w:r>
          </w:p>
        </w:tc>
      </w:tr>
      <w:tr>
        <w:tc>
          <w:tcPr/>
          <w:p>
            <w:pPr>
              <w:pStyle w:val="Compact"/>
              <w:jc w:val="left"/>
            </w:pPr>
            <w:r>
              <w:t xml:space="preserve">M25</w:t>
            </w:r>
          </w:p>
        </w:tc>
        <w:tc>
          <w:tcPr/>
          <w:p>
            <w:pPr>
              <w:pStyle w:val="Compact"/>
              <w:jc w:val="left"/>
            </w:pPr>
            <w:r>
              <w:t xml:space="preserve">ParkinSense wellness launch online</w:t>
            </w:r>
          </w:p>
        </w:tc>
        <w:tc>
          <w:tcPr/>
          <w:p>
            <w:pPr>
              <w:pStyle w:val="Compact"/>
              <w:jc w:val="left"/>
            </w:pPr>
            <w:r>
              <w:t xml:space="preserve">Inventory + D2C CAC ₹1,500</w:t>
            </w:r>
          </w:p>
        </w:tc>
        <w:tc>
          <w:tcPr/>
          <w:p>
            <w:pPr>
              <w:pStyle w:val="Compact"/>
              <w:jc w:val="left"/>
            </w:pPr>
            <w:r>
              <w:t xml:space="preserve">1,380 units in Year 3</w:t>
            </w:r>
          </w:p>
        </w:tc>
      </w:tr>
    </w:tbl>
    <w:bookmarkEnd w:id="111"/>
    <w:bookmarkStart w:id="112" w:name="channel-plan"/>
    <w:p>
      <w:pPr>
        <w:pStyle w:val="Heading2"/>
      </w:pPr>
      <w:r>
        <w:t xml:space="preserve">6. Channel plan</w:t>
      </w:r>
    </w:p>
    <w:tbl>
      <w:tblPr>
        <w:tblStyle w:val="Table"/>
        <w:tblW w:type="pct" w:w="5000"/>
        <w:tblLook w:firstRow="1" w:lastRow="0" w:firstColumn="0" w:lastColumn="0" w:noHBand="0" w:noVBand="0" w:val="0020"/>
        <w:jc w:val="start"/>
      </w:tblPr>
      <w:tblGrid>
        <w:gridCol w:w="1900"/>
        <w:gridCol w:w="3643"/>
        <w:gridCol w:w="2376"/>
      </w:tblGrid>
      <w:tr>
        <w:trPr>
          <w:tblHeader w:val="true"/>
        </w:trPr>
        <w:tc>
          <w:tcPr/>
          <w:p>
            <w:pPr>
              <w:pStyle w:val="Compact"/>
              <w:jc w:val="left"/>
            </w:pPr>
            <w:r>
              <w:t xml:space="preserve">Channel</w:t>
            </w:r>
          </w:p>
        </w:tc>
        <w:tc>
          <w:tcPr/>
          <w:p>
            <w:pPr>
              <w:pStyle w:val="Compact"/>
              <w:jc w:val="left"/>
            </w:pPr>
            <w:r>
              <w:t xml:space="preserve">Role</w:t>
            </w:r>
          </w:p>
        </w:tc>
        <w:tc>
          <w:tcPr/>
          <w:p>
            <w:pPr>
              <w:pStyle w:val="Compact"/>
              <w:jc w:val="left"/>
            </w:pPr>
            <w:r>
              <w:t xml:space="preserve">Contribution per TremoSense (model)</w:t>
            </w:r>
          </w:p>
        </w:tc>
      </w:tr>
      <w:tr>
        <w:tc>
          <w:tcPr/>
          <w:p>
            <w:pPr>
              <w:pStyle w:val="Compact"/>
              <w:jc w:val="left"/>
            </w:pPr>
            <w:r>
              <w:t xml:space="preserve">Clinic / OT referral</w:t>
            </w:r>
          </w:p>
        </w:tc>
        <w:tc>
          <w:tcPr/>
          <w:p>
            <w:pPr>
              <w:pStyle w:val="Compact"/>
              <w:jc w:val="left"/>
            </w:pPr>
            <w:r>
              <w:t xml:space="preserve">Main channel: try before buying, clinician trust</w:t>
            </w:r>
          </w:p>
        </w:tc>
        <w:tc>
          <w:tcPr/>
          <w:p>
            <w:pPr>
              <w:pStyle w:val="Compact"/>
              <w:jc w:val="left"/>
            </w:pPr>
            <w:r>
              <w:t xml:space="preserve">₹2,538 (15% clinic margin)</w:t>
            </w:r>
          </w:p>
        </w:tc>
      </w:tr>
      <w:tr>
        <w:tc>
          <w:tcPr/>
          <w:p>
            <w:pPr>
              <w:pStyle w:val="Compact"/>
              <w:jc w:val="left"/>
            </w:pPr>
            <w:r>
              <w:t xml:space="preserve">Direct online</w:t>
            </w:r>
          </w:p>
        </w:tc>
        <w:tc>
          <w:tcPr/>
          <w:p>
            <w:pPr>
              <w:pStyle w:val="Compact"/>
              <w:jc w:val="left"/>
            </w:pPr>
            <w:r>
              <w:t xml:space="preserve">Repeat buyers, referrals, ParkinSense</w:t>
            </w:r>
          </w:p>
        </w:tc>
        <w:tc>
          <w:tcPr/>
          <w:p>
            <w:pPr>
              <w:pStyle w:val="Compact"/>
              <w:jc w:val="left"/>
            </w:pPr>
            <w:r>
              <w:t xml:space="preserve">₹3,966</w:t>
            </w:r>
          </w:p>
        </w:tc>
      </w:tr>
      <w:tr>
        <w:tc>
          <w:tcPr/>
          <w:p>
            <w:pPr>
              <w:pStyle w:val="Compact"/>
              <w:jc w:val="left"/>
            </w:pPr>
            <w:r>
              <w:t xml:space="preserve">Institutional procurement</w:t>
            </w:r>
          </w:p>
        </w:tc>
        <w:tc>
          <w:tcPr/>
          <w:p>
            <w:pPr>
              <w:pStyle w:val="Compact"/>
              <w:jc w:val="left"/>
            </w:pPr>
            <w:r>
              <w:t xml:space="preserve">Hospitals and NGOs; 60-day terms</w:t>
            </w:r>
          </w:p>
        </w:tc>
        <w:tc>
          <w:tcPr/>
          <w:p>
            <w:pPr>
              <w:pStyle w:val="Compact"/>
              <w:jc w:val="left"/>
            </w:pPr>
            <w:r>
              <w:t xml:space="preserve">₹3,014</w:t>
            </w:r>
          </w:p>
        </w:tc>
      </w:tr>
      <w:tr>
        <w:tc>
          <w:tcPr/>
          <w:p>
            <w:pPr>
              <w:pStyle w:val="Compact"/>
              <w:jc w:val="left"/>
            </w:pPr>
            <w:r>
              <w:t xml:space="preserve">Rental</w:t>
            </w:r>
          </w:p>
        </w:tc>
        <w:tc>
          <w:tcPr/>
          <w:p>
            <w:pPr>
              <w:pStyle w:val="Compact"/>
              <w:jc w:val="left"/>
            </w:pPr>
            <w:r>
              <w:t xml:space="preserve">Families who cannot pay upfront</w:t>
            </w:r>
          </w:p>
        </w:tc>
        <w:tc>
          <w:tcPr/>
          <w:p>
            <w:pPr>
              <w:pStyle w:val="Compact"/>
              <w:jc w:val="left"/>
            </w:pPr>
            <w:r>
              <w:t xml:space="preserve">₹576/month net; device recovered in 9.3 months</w:t>
            </w:r>
          </w:p>
        </w:tc>
      </w:tr>
    </w:tbl>
    <w:bookmarkEnd w:id="112"/>
    <w:bookmarkStart w:id="113" w:name="risk-register"/>
    <w:p>
      <w:pPr>
        <w:pStyle w:val="Heading2"/>
      </w:pPr>
      <w:r>
        <w:t xml:space="preserve">7. Risk register</w:t>
      </w:r>
    </w:p>
    <w:tbl>
      <w:tblPr>
        <w:tblStyle w:val="Table"/>
        <w:tblW w:type="pct" w:w="5000"/>
        <w:tblLook w:firstRow="1" w:lastRow="0" w:firstColumn="0" w:lastColumn="0" w:noHBand="0" w:noVBand="0" w:val="0020"/>
        <w:jc w:val="start"/>
      </w:tblPr>
      <w:tblGrid>
        <w:gridCol w:w="2217"/>
        <w:gridCol w:w="950"/>
        <w:gridCol w:w="950"/>
        <w:gridCol w:w="3801"/>
      </w:tblGrid>
      <w:tr>
        <w:trPr>
          <w:tblHeader w:val="true"/>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Bench results do not transfer to real meals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Preregistered study; kill below 30% median reduction</w:t>
            </w:r>
          </w:p>
        </w:tc>
      </w:tr>
      <w:tr>
        <w:tc>
          <w:tcPr/>
          <w:p>
            <w:pPr>
              <w:pStyle w:val="Compact"/>
              <w:jc w:val="left"/>
            </w:pPr>
            <w:r>
              <w:t xml:space="preserve">Families will not pay ₹9,999</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Rental at ₹799/month; clinic trial-to-purchase test</w:t>
            </w:r>
          </w:p>
        </w:tc>
      </w:tr>
      <w:tr>
        <w:tc>
          <w:tcPr/>
          <w:p>
            <w:pPr>
              <w:pStyle w:val="Compact"/>
              <w:jc w:val="left"/>
            </w:pPr>
            <w:r>
              <w:t xml:space="preserve">CDSCO classification or timeline slips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Classification opinion at M4; consultant on contract</w:t>
            </w:r>
          </w:p>
        </w:tc>
      </w:tr>
      <w:tr>
        <w:tc>
          <w:tcPr/>
          <w:p>
            <w:pPr>
              <w:pStyle w:val="Compact"/>
              <w:jc w:val="left"/>
            </w:pPr>
            <w:r>
              <w:t xml:space="preserve">Component cost stays at Scenario B</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Hold ₹9,999 until Scenario C cost is verified</w:t>
            </w:r>
          </w:p>
        </w:tc>
      </w:tr>
      <w:tr>
        <w:tc>
          <w:tcPr/>
          <w:p>
            <w:pPr>
              <w:pStyle w:val="Compact"/>
              <w:jc w:val="left"/>
            </w:pPr>
            <w:r>
              <w:t xml:space="preserve">Tranche 2 late (zero cash M7)</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Pause hiring and inventory; buffer to ≈M14</w:t>
            </w:r>
          </w:p>
        </w:tc>
      </w:tr>
      <w:tr>
        <w:tc>
          <w:tcPr/>
          <w:p>
            <w:pPr>
              <w:pStyle w:val="Compact"/>
              <w:jc w:val="left"/>
            </w:pPr>
            <w:r>
              <w:t xml:space="preserve">Data-privacy incident (ParkinSense)</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Encryption, minimal data, DPDP Act compliance</w:t>
            </w:r>
          </w:p>
        </w:tc>
      </w:tr>
    </w:tbl>
    <w:bookmarkEnd w:id="113"/>
    <w:bookmarkEnd w:id="114"/>
    <w:bookmarkStart w:id="120" w:name="M5.3"/>
    <w:p>
      <w:pPr>
        <w:pStyle w:val="BodyText"/>
      </w:pPr>
      <w:r>
        <w:t xml:space="preserve">M5 · Activity 3 · Mandatory Model M5.3</w:t>
      </w:r>
    </w:p>
    <w:bookmarkStart w:id="115" w:name="full-venture-launch-fundraising-package"/>
    <w:p>
      <w:pPr>
        <w:pStyle w:val="Heading1"/>
      </w:pPr>
      <w:r>
        <w:t xml:space="preserve">Full Venture Launch &amp; Fundraising Package</w:t>
      </w:r>
    </w:p>
    <w:tbl>
      <w:tblPr>
        <w:tblStyle w:val="Table"/>
        <w:tblW w:type="auto" w:w="0"/>
        <w:tblLook w:firstRow="0" w:lastRow="0" w:firstColumn="0" w:lastColumn="0" w:noHBand="0" w:noVBand="0" w:val="0000"/>
        <w:jc w:val="start"/>
      </w:tblPr>
      <w:tblGrid>
        <w:gridCol w:w="1980"/>
        <w:gridCol w:w="1980"/>
        <w:gridCol w:w="1980"/>
        <w:gridCol w:w="1980"/>
      </w:tblGrid>
      <w:tr>
        <w:tc>
          <w:tcPr/>
          <w:p>
            <w:pPr>
              <w:pStyle w:val="Compact"/>
              <w:jc w:val="left"/>
            </w:pPr>
            <w:r>
              <w:rPr>
                <w:bCs/>
                <w:b/>
              </w:rPr>
              <w:t xml:space="preserve">Module</w:t>
            </w:r>
            <w:r>
              <w:t xml:space="preserve"> </w:t>
            </w:r>
            <w:r>
              <w:t xml:space="preserve">5</w:t>
            </w:r>
          </w:p>
        </w:tc>
        <w:tc>
          <w:tcPr/>
          <w:p>
            <w:pPr>
              <w:pStyle w:val="Compact"/>
              <w:jc w:val="left"/>
            </w:pPr>
            <w:r>
              <w:rPr>
                <w:bCs/>
                <w:b/>
              </w:rPr>
              <w:t xml:space="preserve">Activity</w:t>
            </w:r>
            <w:r>
              <w:t xml:space="preserve"> </w:t>
            </w:r>
            <w:r>
              <w:t xml:space="preserve">3</w:t>
            </w:r>
          </w:p>
        </w:tc>
        <w:tc>
          <w:tcPr/>
          <w:p>
            <w:pPr>
              <w:pStyle w:val="Compact"/>
              <w:jc w:val="left"/>
            </w:pPr>
            <w:r>
              <w:rPr>
                <w:bCs/>
                <w:b/>
              </w:rPr>
              <w:t xml:space="preserve">Date completed</w:t>
            </w:r>
            <w:r>
              <w:t xml:space="preserve"> </w:t>
            </w:r>
            <w:r>
              <w:t xml:space="preserve">16 Oct 2026</w:t>
            </w:r>
          </w:p>
        </w:tc>
        <w:tc>
          <w:tcPr/>
          <w:p>
            <w:pPr>
              <w:pStyle w:val="Compact"/>
              <w:jc w:val="left"/>
            </w:pPr>
            <w:r>
              <w:rPr>
                <w:bCs/>
                <w:b/>
              </w:rPr>
              <w:t xml:space="preserve">Venture</w:t>
            </w:r>
            <w:r>
              <w:t xml:space="preserve"> </w:t>
            </w:r>
            <w:r>
              <w:t xml:space="preserve">AVERRA</w:t>
            </w:r>
          </w:p>
        </w:tc>
      </w:tr>
      <w:tr>
        <w:tc>
          <w:tcPr>
            <w:gridSpan w:val="4"/>
          </w:tcPr>
          <w:p>
            <w:pPr>
              <w:pStyle w:val="Compact"/>
              <w:jc w:val="left"/>
            </w:pPr>
            <w:r>
              <w:rPr>
                <w:bCs/>
                <w:b/>
              </w:rPr>
              <w:t xml:space="preserve">Evidence status:</w:t>
            </w:r>
            <w:r>
              <w:t xml:space="preserve"> </w:t>
            </w:r>
            <w:r>
              <w:t xml:space="preserve">Completed · thesis draft</w:t>
            </w:r>
          </w:p>
        </w:tc>
      </w:tr>
      <w:tr>
        <w:tc>
          <w:tcPr>
            <w:gridSpan w:val="4"/>
          </w:tcPr>
          <w:p>
            <w:pPr>
              <w:pStyle w:val="Compact"/>
              <w:jc w:val="left"/>
            </w:pPr>
            <w:r>
              <w:t xml:space="preserve">Data note: Summarises M1.1–M5.2; simulated items keep their labels.</w:t>
            </w:r>
          </w:p>
        </w:tc>
      </w:tr>
    </w:tbl>
    <w:bookmarkEnd w:id="115"/>
    <w:bookmarkStart w:id="116" w:name="package-contents"/>
    <w:p>
      <w:pPr>
        <w:pStyle w:val="Heading2"/>
      </w:pPr>
      <w:r>
        <w:t xml:space="preserve">1. Package contents</w:t>
      </w:r>
    </w:p>
    <w:tbl>
      <w:tblPr>
        <w:tblStyle w:val="Table"/>
        <w:tblW w:type="pct" w:w="5000"/>
        <w:tblLook w:firstRow="1" w:lastRow="0" w:firstColumn="0" w:lastColumn="0" w:noHBand="0" w:noVBand="0" w:val="0020"/>
        <w:jc w:val="start"/>
      </w:tblPr>
      <w:tblGrid>
        <w:gridCol w:w="2692"/>
        <w:gridCol w:w="3484"/>
        <w:gridCol w:w="1742"/>
      </w:tblGrid>
      <w:tr>
        <w:trPr>
          <w:tblHeader w:val="true"/>
        </w:trPr>
        <w:tc>
          <w:tcPr/>
          <w:p>
            <w:pPr>
              <w:pStyle w:val="Compact"/>
              <w:jc w:val="left"/>
            </w:pPr>
            <w:r>
              <w:t xml:space="preserve">Component</w:t>
            </w:r>
          </w:p>
        </w:tc>
        <w:tc>
          <w:tcPr/>
          <w:p>
            <w:pPr>
              <w:pStyle w:val="Compact"/>
              <w:jc w:val="left"/>
            </w:pPr>
            <w:r>
              <w:t xml:space="preserve">Where</w:t>
            </w:r>
          </w:p>
        </w:tc>
        <w:tc>
          <w:tcPr/>
          <w:p>
            <w:pPr>
              <w:pStyle w:val="Compact"/>
              <w:jc w:val="left"/>
            </w:pPr>
            <w:r>
              <w:t xml:space="preserve">Status</w:t>
            </w:r>
          </w:p>
        </w:tc>
      </w:tr>
      <w:tr>
        <w:tc>
          <w:tcPr/>
          <w:p>
            <w:pPr>
              <w:pStyle w:val="Compact"/>
              <w:jc w:val="left"/>
            </w:pPr>
            <w:r>
              <w:t xml:space="preserve">Pitch deck (17 slides)</w:t>
            </w:r>
          </w:p>
        </w:tc>
        <w:tc>
          <w:tcPr/>
          <w:p>
            <w:pPr>
              <w:pStyle w:val="Compact"/>
              <w:jc w:val="left"/>
            </w:pPr>
            <w:r>
              <w:t xml:space="preserve">deck/AVERRA_Pitch.pptx and averraproject.vercel.app</w:t>
            </w:r>
          </w:p>
        </w:tc>
        <w:tc>
          <w:tcPr/>
          <w:p>
            <w:pPr>
              <w:pStyle w:val="Compact"/>
              <w:jc w:val="left"/>
            </w:pPr>
            <w:r>
              <w:t xml:space="preserve">Done</w:t>
            </w:r>
          </w:p>
        </w:tc>
      </w:tr>
      <w:tr>
        <w:tc>
          <w:tcPr/>
          <w:p>
            <w:pPr>
              <w:pStyle w:val="Compact"/>
              <w:jc w:val="left"/>
            </w:pPr>
            <w:r>
              <w:t xml:space="preserve">Financial model</w:t>
            </w:r>
          </w:p>
        </w:tc>
        <w:tc>
          <w:tcPr/>
          <w:p>
            <w:pPr>
              <w:pStyle w:val="Compact"/>
              <w:jc w:val="left"/>
            </w:pPr>
            <w:r>
              <w:t xml:space="preserve">model/AVERRA_Financial_Model.xlsx</w:t>
            </w:r>
          </w:p>
        </w:tc>
        <w:tc>
          <w:tcPr/>
          <w:p>
            <w:pPr>
              <w:pStyle w:val="Compact"/>
              <w:jc w:val="left"/>
            </w:pPr>
            <w:r>
              <w:t xml:space="preserve">Done (forecast, not actuals)</w:t>
            </w:r>
          </w:p>
        </w:tc>
      </w:tr>
      <w:tr>
        <w:tc>
          <w:tcPr/>
          <w:p>
            <w:pPr>
              <w:pStyle w:val="Compact"/>
              <w:jc w:val="left"/>
            </w:pPr>
            <w:r>
              <w:t xml:space="preserve">Cap table and fundraising model</w:t>
            </w:r>
          </w:p>
        </w:tc>
        <w:tc>
          <w:tcPr/>
          <w:p>
            <w:pPr>
              <w:pStyle w:val="Compact"/>
              <w:jc w:val="left"/>
            </w:pPr>
            <w:r>
              <w:t xml:space="preserve">M4.3; Funding Scenarios sheet</w:t>
            </w:r>
          </w:p>
        </w:tc>
        <w:tc>
          <w:tcPr/>
          <w:p>
            <w:pPr>
              <w:pStyle w:val="Compact"/>
              <w:jc w:val="left"/>
            </w:pPr>
            <w:r>
              <w:t xml:space="preserve">Done</w:t>
            </w:r>
          </w:p>
        </w:tc>
      </w:tr>
      <w:tr>
        <w:tc>
          <w:tcPr/>
          <w:p>
            <w:pPr>
              <w:pStyle w:val="Compact"/>
              <w:jc w:val="left"/>
            </w:pPr>
            <w:r>
              <w:t xml:space="preserve">Customer evidence</w:t>
            </w:r>
          </w:p>
        </w:tc>
        <w:tc>
          <w:tcPr/>
          <w:p>
            <w:pPr>
              <w:pStyle w:val="Compact"/>
              <w:jc w:val="left"/>
            </w:pPr>
            <w:r>
              <w:t xml:space="preserve">M1.1</w:t>
            </w:r>
          </w:p>
        </w:tc>
        <w:tc>
          <w:tcPr/>
          <w:p>
            <w:pPr>
              <w:pStyle w:val="Compact"/>
              <w:jc w:val="left"/>
            </w:pPr>
            <w:r>
              <w:t xml:space="preserve">Simulated case study (M1.1); replace with interview records</w:t>
            </w:r>
          </w:p>
        </w:tc>
      </w:tr>
      <w:tr>
        <w:tc>
          <w:tcPr/>
          <w:p>
            <w:pPr>
              <w:pStyle w:val="Compact"/>
              <w:jc w:val="left"/>
            </w:pPr>
            <w:r>
              <w:t xml:space="preserve">MVP validation</w:t>
            </w:r>
          </w:p>
        </w:tc>
        <w:tc>
          <w:tcPr/>
          <w:p>
            <w:pPr>
              <w:pStyle w:val="Compact"/>
              <w:jc w:val="left"/>
            </w:pPr>
            <w:r>
              <w:t xml:space="preserve">M2.2</w:t>
            </w:r>
          </w:p>
        </w:tc>
        <w:tc>
          <w:tcPr/>
          <w:p>
            <w:pPr>
              <w:pStyle w:val="Compact"/>
              <w:jc w:val="left"/>
            </w:pPr>
            <w:r>
              <w:t xml:space="preserve">Bench evidence + simulated 5-user pilot; funded study planned</w:t>
            </w:r>
          </w:p>
        </w:tc>
      </w:tr>
      <w:tr>
        <w:tc>
          <w:tcPr/>
          <w:p>
            <w:pPr>
              <w:pStyle w:val="Compact"/>
              <w:jc w:val="left"/>
            </w:pPr>
            <w:r>
              <w:t xml:space="preserve">Launch evidence</w:t>
            </w:r>
          </w:p>
        </w:tc>
        <w:tc>
          <w:tcPr/>
          <w:p>
            <w:pPr>
              <w:pStyle w:val="Compact"/>
              <w:jc w:val="left"/>
            </w:pPr>
            <w:r>
              <w:t xml:space="preserve">M5.2</w:t>
            </w:r>
          </w:p>
        </w:tc>
        <w:tc>
          <w:tcPr/>
          <w:p>
            <w:pPr>
              <w:pStyle w:val="Compact"/>
              <w:jc w:val="left"/>
            </w:pPr>
            <w:r>
              <w:t xml:space="preserve">Simulated pilot (M5.2)</w:t>
            </w:r>
          </w:p>
        </w:tc>
      </w:tr>
    </w:tbl>
    <w:bookmarkEnd w:id="116"/>
    <w:bookmarkStart w:id="117" w:name="X5e28e79d523bba2a83e2b54b386aa4650ed6fc3"/>
    <w:p>
      <w:pPr>
        <w:pStyle w:val="Heading2"/>
      </w:pPr>
      <w:r>
        <w:t xml:space="preserve">2. Why this could fail (single biggest, specific risk)</w:t>
      </w:r>
    </w:p>
    <w:p>
      <w:pPr>
        <w:pStyle w:val="FirstParagraph"/>
      </w:pPr>
      <w:r>
        <w:rPr>
          <w:bCs/>
          <w:b/>
        </w:rPr>
        <w:t xml:space="preserve">Bench rejection may not turn into easier eating. Real food, real spoons and tired hands are harder than a motorised simulator.</w:t>
      </w:r>
    </w:p>
    <w:p>
      <w:pPr>
        <w:pStyle w:val="BodyText"/>
      </w:pPr>
      <w:r>
        <w:rPr>
          <w:bCs/>
          <w:b/>
        </w:rPr>
        <w:t xml:space="preserve">Stop or change direction if:</w:t>
      </w:r>
      <w:r>
        <w:t xml:space="preserve"> </w:t>
      </w:r>
      <w:r>
        <w:t xml:space="preserve">the M6 study (n ≥ 10) shows median tremor reduction below 30% → stop TremoSense and focus on ParkinSense; 30–50% → one redesign and re-test; it works but fewer than 60% would pay → pivot to clinic rental at ₹799/month; tranche 2 does not close by M7 → pause spending and extend to ≈M14 on the buffer.</w:t>
      </w:r>
    </w:p>
    <w:bookmarkEnd w:id="117"/>
    <w:bookmarkStart w:id="118" w:name="investment-memo"/>
    <w:p>
      <w:pPr>
        <w:pStyle w:val="Heading2"/>
      </w:pPr>
      <w:r>
        <w:t xml:space="preserve">3. Investment memo</w:t>
      </w:r>
    </w:p>
    <w:p>
      <w:pPr>
        <w:pStyle w:val="FirstParagraph"/>
      </w:pPr>
      <w:r>
        <w:rPr>
          <w:bCs/>
          <w:b/>
        </w:rPr>
        <w:t xml:space="preserve">Company.</w:t>
      </w:r>
      <w:r>
        <w:t xml:space="preserve"> </w:t>
      </w:r>
      <w:r>
        <w:t xml:space="preserve">AVERRA, biomedical technology. “Engineering better movement intelligence.” Founders: Pranshu Kumar and Pawan Shinde (both hardware and test engineers).</w:t>
      </w:r>
    </w:p>
    <w:p>
      <w:pPr>
        <w:pStyle w:val="BodyText"/>
      </w:pPr>
      <w:r>
        <w:rPr>
          <w:bCs/>
          <w:b/>
        </w:rPr>
        <w:t xml:space="preserve">Problem.</w:t>
      </w:r>
      <w:r>
        <w:t xml:space="preserve"> </w:t>
      </w:r>
      <w:r>
        <w:t xml:space="preserve">About 4.6 lakh Indians aged 60+ live with Parkinson's and ≈12.8 lakh have essential tremor (single-study estimate). Movement is measured only in short clinic visits, and tremor makes eating hard and embarrassing (published studies; simulated interview case study in M1.1).</w:t>
      </w:r>
    </w:p>
    <w:p>
      <w:pPr>
        <w:pStyle w:val="BodyText"/>
      </w:pPr>
      <w:r>
        <w:rPr>
          <w:bCs/>
          <w:b/>
        </w:rPr>
        <w:t xml:space="preserve">Products and status.</w:t>
      </w:r>
      <w:r>
        <w:t xml:space="preserve"> </w:t>
      </w:r>
      <w:r>
        <w:t xml:space="preserve">TremoSense, an active stabilising spoon: ≈90% tremor rejection on a bench simulator (founder-reported; logs to be published); 2 informal user trials. ParkinSense, a ₹7,999 screenless wellness band with tremor detection: steps, tremor and rest-vs-movement bench-tested; heart metrics need validation; clinical evaluation with ICMR in progress, results pending. No diagnostic claims.</w:t>
      </w:r>
    </w:p>
    <w:p>
      <w:pPr>
        <w:pStyle w:val="BodyText"/>
      </w:pPr>
      <w:r>
        <w:rPr>
          <w:bCs/>
          <w:b/>
        </w:rPr>
        <w:t xml:space="preserve">Market.</w:t>
      </w:r>
      <w:r>
        <w:t xml:space="preserve"> </w:t>
      </w:r>
      <w:r>
        <w:t xml:space="preserve">Bottom-up TAM ₹416.9 Cr, SAM ₹51.9 Cr, Year-3 SOM ₹109.0 L; general-wearable upside shown separately.</w:t>
      </w:r>
    </w:p>
    <w:p>
      <w:pPr>
        <w:pStyle w:val="BodyText"/>
      </w:pPr>
      <w:r>
        <w:rPr>
          <w:bCs/>
          <w:b/>
        </w:rPr>
        <w:t xml:space="preserve">Business model and unit economics.</w:t>
      </w:r>
      <w:r>
        <w:t xml:space="preserve"> </w:t>
      </w:r>
      <w:r>
        <w:t xml:space="preserve">Clinic-referred device sales and rental; ParkinSense online with an optional plan; RUO kits for labs. TremoSense contribution ₹2,538 (31.4%) at ₹9,999; LTV:CAC 3.3×; CAC paid back on the first sale.</w:t>
      </w:r>
    </w:p>
    <w:p>
      <w:pPr>
        <w:pStyle w:val="BodyText"/>
      </w:pPr>
      <w:r>
        <w:rPr>
          <w:bCs/>
          <w:b/>
        </w:rPr>
        <w:t xml:space="preserve">Financials (forecast).</w:t>
      </w:r>
      <w:r>
        <w:t xml:space="preserve"> </w:t>
      </w:r>
      <w:r>
        <w:t xml:space="preserve">Year-1 costs ₹31.57 L; break-even M23 · May-29; Year-3 operating profit ₹18.93 L on ₹2.12 Cr cash in; total to break-even ₹48.22 L.</w:t>
      </w:r>
    </w:p>
    <w:p>
      <w:pPr>
        <w:pStyle w:val="BodyText"/>
      </w:pPr>
      <w:r>
        <w:rPr>
          <w:bCs/>
          <w:b/>
        </w:rPr>
        <w:t xml:space="preserve">The ask.</w:t>
      </w:r>
      <w:r>
        <w:t xml:space="preserve"> </w:t>
      </w:r>
      <w:r>
        <w:t xml:space="preserve">₹10,51,171 at a proposed ₹75,00,000 pre-money (negotiation target; cost-to-duplicate floor ₹44.75 L, Berkus cross-check ₹60 L) = 12.29% to the investor; founders 82.71% after a 5% ESOP pool. Funds Milestone 1: the preregistered user study by M6. Tranche 2 ₹37.71 L by M7. Startup India grant applied for, not secured.</w:t>
      </w:r>
    </w:p>
    <w:p>
      <w:pPr>
        <w:pStyle w:val="BodyText"/>
      </w:pPr>
      <w:r>
        <w:rPr>
          <w:bCs/>
          <w:b/>
        </w:rPr>
        <w:t xml:space="preserve">Key risk and kill rule.</w:t>
      </w:r>
      <w:r>
        <w:t xml:space="preserve"> </w:t>
      </w:r>
      <w:r>
        <w:t xml:space="preserve">Bench results may not transfer to real meals; stop TremoSense below 30% median reduction.</w:t>
      </w:r>
    </w:p>
    <w:bookmarkEnd w:id="118"/>
    <w:bookmarkStart w:id="119" w:name="personal-entrepreneurial-thesis"/>
    <w:p>
      <w:pPr>
        <w:pStyle w:val="Heading2"/>
      </w:pPr>
      <w:r>
        <w:t xml:space="preserve">4. Personal entrepreneurial thesis</w:t>
      </w:r>
    </w:p>
    <w:tbl>
      <w:tblPr>
        <w:tblStyle w:val="Table"/>
        <w:tblW w:type="pct" w:w="5000"/>
        <w:tblLook w:firstRow="1" w:lastRow="0" w:firstColumn="0" w:lastColumn="0" w:noHBand="0" w:noVBand="0" w:val="0020"/>
        <w:jc w:val="start"/>
      </w:tblPr>
      <w:tblGrid>
        <w:gridCol w:w="3168"/>
        <w:gridCol w:w="4752"/>
      </w:tblGrid>
      <w:tr>
        <w:trPr>
          <w:tblHeader w:val="true"/>
        </w:trPr>
        <w:tc>
          <w:tcPr/>
          <w:p>
            <w:pPr>
              <w:pStyle w:val="Compact"/>
              <w:jc w:val="left"/>
            </w:pPr>
            <w:r>
              <w:t xml:space="preserve">Question</w:t>
            </w:r>
          </w:p>
        </w:tc>
        <w:tc>
          <w:tcPr/>
          <w:p>
            <w:pPr>
              <w:pStyle w:val="Compact"/>
              <w:jc w:val="left"/>
            </w:pPr>
            <w:r>
              <w:t xml:space="preserve">Draft answer</w:t>
            </w:r>
          </w:p>
        </w:tc>
      </w:tr>
      <w:tr>
        <w:tc>
          <w:tcPr/>
          <w:p>
            <w:pPr>
              <w:pStyle w:val="Compact"/>
              <w:jc w:val="left"/>
            </w:pPr>
            <w:r>
              <w:t xml:space="preserve">Start, operate, fund or join?</w:t>
            </w:r>
          </w:p>
        </w:tc>
        <w:tc>
          <w:tcPr/>
          <w:p>
            <w:pPr>
              <w:pStyle w:val="Compact"/>
              <w:jc w:val="left"/>
            </w:pPr>
            <w:r>
              <w:t xml:space="preserve">START: I would start this venture.</w:t>
            </w:r>
          </w:p>
        </w:tc>
      </w:tr>
      <w:tr>
        <w:tc>
          <w:tcPr/>
          <w:p>
            <w:pPr>
              <w:pStyle w:val="Compact"/>
              <w:jc w:val="left"/>
            </w:pPr>
            <w:r>
              <w:t xml:space="preserve">Evidence from my M1–M5 work</w:t>
            </w:r>
          </w:p>
        </w:tc>
        <w:tc>
          <w:tcPr/>
          <w:p>
            <w:pPr>
              <w:pStyle w:val="Compact"/>
              <w:jc w:val="left"/>
            </w:pPr>
            <w:r>
              <w:t xml:space="preserve">5 of 6 interviewees described weekly eating problems and 4 had already paid for a workaround (M1.1, simulated); the 5-user pilot reached 58% median reduction, indicative only (M2.2); contribution is ₹2,538 per TremoSense at ₹9,999 and LTV:CAC 3.3× (M2.3, M3.2).</w:t>
            </w:r>
          </w:p>
        </w:tc>
      </w:tr>
      <w:tr>
        <w:tc>
          <w:tcPr/>
          <w:p>
            <w:pPr>
              <w:pStyle w:val="Compact"/>
              <w:jc w:val="left"/>
            </w:pPr>
            <w:r>
              <w:t xml:space="preserve">What changed my thinking</w:t>
            </w:r>
          </w:p>
        </w:tc>
        <w:tc>
          <w:tcPr/>
          <w:p>
            <w:pPr>
              <w:pStyle w:val="Compact"/>
              <w:jc w:val="left"/>
            </w:pPr>
            <w:r>
              <w:t xml:space="preserve">Caregivers, not patients, make the buying decision, so clinics and caregivers became our channel; weight mattered more than I expected.</w:t>
            </w:r>
          </w:p>
        </w:tc>
      </w:tr>
      <w:tr>
        <w:tc>
          <w:tcPr/>
          <w:p>
            <w:pPr>
              <w:pStyle w:val="Compact"/>
              <w:jc w:val="left"/>
            </w:pPr>
            <w:r>
              <w:t xml:space="preserve">What would change my answer</w:t>
            </w:r>
          </w:p>
        </w:tc>
        <w:tc>
          <w:tcPr/>
          <w:p>
            <w:pPr>
              <w:pStyle w:val="Compact"/>
              <w:jc w:val="left"/>
            </w:pPr>
            <w:r>
              <w:t xml:space="preserve">A larger study below 30% median reduction, or fewer than 30% of trial users buying at ₹9,999.</w:t>
            </w:r>
          </w:p>
        </w:tc>
      </w:tr>
    </w:tbl>
    <w:bookmarkEnd w:id="119"/>
    <w:bookmarkEnd w:id="120"/>
    <w:bookmarkStart w:id="122" w:name="REF"/>
    <w:bookmarkStart w:id="121" w:name="references"/>
    <w:p>
      <w:pPr>
        <w:pStyle w:val="Heading1"/>
      </w:pPr>
      <w:r>
        <w:t xml:space="preserve">References</w:t>
      </w:r>
    </w:p>
    <w:p>
      <w:pPr>
        <w:pStyle w:val="FirstParagraph"/>
      </w:pPr>
      <w:r>
        <w:t xml:space="preserve">Prices and figures were checked on the dates stated in each label (most competitor prices on 16 Oct 2026; FX on 12 Oct 2026). Accessed for this portfolio: 16 Oct 2026.</w:t>
      </w:r>
    </w:p>
    <w:p>
      <w:pPr>
        <w:numPr>
          <w:ilvl w:val="0"/>
          <w:numId w:val="1009"/>
        </w:numPr>
        <w:pStyle w:val="Compact"/>
      </w:pPr>
      <w:r>
        <w:t xml:space="preserve">UNFPA India Ageing Report 2023 (149M aged 60+, 10.5%; 347M by 2050)</w:t>
      </w:r>
      <w:r>
        <w:br/>
      </w:r>
      <w:r>
        <w:t xml:space="preserve">https://www.thenationalnews.com/world/asia/2023/09/28/india-un-elderly-population/</w:t>
      </w:r>
    </w:p>
    <w:p>
      <w:pPr>
        <w:numPr>
          <w:ilvl w:val="0"/>
          <w:numId w:val="1009"/>
        </w:numPr>
        <w:pStyle w:val="Compact"/>
      </w:pPr>
      <w:r>
        <w:t xml:space="preserve">Khurana &amp; Gourie-Devi, Cureus 2025;17(3):e80248 — Indian PD community studies</w:t>
      </w:r>
      <w:r>
        <w:br/>
      </w:r>
      <w:r>
        <w:t xml:space="preserve">https://pmc.ncbi.nlm.nih.gov/articles/PMC11890171</w:t>
      </w:r>
    </w:p>
    <w:p>
      <w:pPr>
        <w:numPr>
          <w:ilvl w:val="0"/>
          <w:numId w:val="1009"/>
        </w:numPr>
        <w:pStyle w:val="Compact"/>
      </w:pPr>
      <w:r>
        <w:t xml:space="preserve">Chin et al., Mov Disord 2021 — ET in rural Gujarat</w:t>
      </w:r>
      <w:r>
        <w:br/>
      </w:r>
      <w:r>
        <w:t xml:space="preserve">https://www.mdsabstracts.org/abstract/prevalence-of-essential-tremors-in-rural-gujarat-india/</w:t>
      </w:r>
    </w:p>
    <w:p>
      <w:pPr>
        <w:numPr>
          <w:ilvl w:val="0"/>
          <w:numId w:val="1009"/>
        </w:numPr>
        <w:pStyle w:val="Compact"/>
      </w:pPr>
      <w:r>
        <w:t xml:space="preserve">BMJ 2025 — PD prevalence 25.2M by 2050</w:t>
      </w:r>
      <w:r>
        <w:br/>
      </w:r>
      <w:r>
        <w:t xml:space="preserve">https://bmjgroup.com/cases-of-parkinsons-disease-set-to-reach-25-million-worldwide-by-2050</w:t>
      </w:r>
    </w:p>
    <w:p>
      <w:pPr>
        <w:numPr>
          <w:ilvl w:val="0"/>
          <w:numId w:val="1009"/>
        </w:numPr>
        <w:pStyle w:val="Compact"/>
      </w:pPr>
      <w:r>
        <w:t xml:space="preserve">Michael J. Fox Foundation — Liftware $195 (Nov 2015)</w:t>
      </w:r>
      <w:r>
        <w:br/>
      </w:r>
      <w:r>
        <w:t xml:space="preserve">https://www.michaeljfox.org/news/stabilizing-spoon-announces-price-reduction-and-match-program-holidays</w:t>
      </w:r>
    </w:p>
    <w:p>
      <w:pPr>
        <w:numPr>
          <w:ilvl w:val="0"/>
          <w:numId w:val="1009"/>
        </w:numPr>
        <w:pStyle w:val="Compact"/>
      </w:pPr>
      <w:r>
        <w:t xml:space="preserve">Seeed Studio — XIAO nRF52840 Sense $15.90 / $13.90 (10+)</w:t>
      </w:r>
      <w:r>
        <w:br/>
      </w:r>
      <w:r>
        <w:t xml:space="preserve">https://www.seeedstudio.com/Seeed-XIAO-BLE-Sense-nRF52840-p-5253.html</w:t>
      </w:r>
    </w:p>
    <w:p>
      <w:pPr>
        <w:numPr>
          <w:ilvl w:val="0"/>
          <w:numId w:val="1009"/>
        </w:numPr>
        <w:pStyle w:val="Compact"/>
      </w:pPr>
      <w:r>
        <w:t xml:space="preserve">The Pi Hut — TowerPro MG92B £8</w:t>
      </w:r>
      <w:r>
        <w:br/>
      </w:r>
      <w:r>
        <w:t xml:space="preserve">https://thepihut.com/products/towerpro-servo-motor-mg92b-metal-gear</w:t>
      </w:r>
    </w:p>
    <w:p>
      <w:pPr>
        <w:numPr>
          <w:ilvl w:val="0"/>
          <w:numId w:val="1009"/>
        </w:numPr>
        <w:pStyle w:val="Compact"/>
      </w:pPr>
      <w:r>
        <w:t xml:space="preserve">Startup India Seed Fund Scheme — ₹20 L PoC grant (ClearTax)</w:t>
      </w:r>
      <w:r>
        <w:br/>
      </w:r>
      <w:r>
        <w:t xml:space="preserve">https://cleartax.in/s/startup-india-seed-fund-scheme</w:t>
      </w:r>
    </w:p>
    <w:p>
      <w:pPr>
        <w:numPr>
          <w:ilvl w:val="0"/>
          <w:numId w:val="1009"/>
        </w:numPr>
        <w:pStyle w:val="Compact"/>
      </w:pPr>
      <w:r>
        <w:t xml:space="preserve">BIRAC Biotechnology Ignition Grant — up to ₹50 L</w:t>
      </w:r>
      <w:r>
        <w:br/>
      </w:r>
      <w:r>
        <w:t xml:space="preserve">https://www.indiascienceandtechnology.gov.in/funding-opportunities/startups/biotechnology-ignition-grant-scheme-big</w:t>
      </w:r>
    </w:p>
    <w:p>
      <w:pPr>
        <w:numPr>
          <w:ilvl w:val="0"/>
          <w:numId w:val="1009"/>
        </w:numPr>
        <w:pStyle w:val="Compact"/>
      </w:pPr>
      <w:r>
        <w:t xml:space="preserve">CDSCO Class A notification (20 Sep 2022)</w:t>
      </w:r>
      <w:r>
        <w:br/>
      </w:r>
      <w:r>
        <w:t xml:space="preserve">https://operonstrategist.com/cdsco-notification-for-class-a-medical-devices/</w:t>
      </w:r>
    </w:p>
    <w:p>
      <w:pPr>
        <w:numPr>
          <w:ilvl w:val="0"/>
          <w:numId w:val="1009"/>
        </w:numPr>
        <w:pStyle w:val="Compact"/>
      </w:pPr>
      <w:r>
        <w:t xml:space="preserve">Medical-device licensing mandatory from 1 Oct 2023</w:t>
      </w:r>
      <w:r>
        <w:br/>
      </w:r>
      <w:r>
        <w:t xml:space="preserve">https://www.digitalhealthnews.com/cdsco-extends-deadline-for-class-c-d-medical-devices-cos-by-3-months</w:t>
      </w:r>
    </w:p>
    <w:p>
      <w:pPr>
        <w:numPr>
          <w:ilvl w:val="0"/>
          <w:numId w:val="1009"/>
        </w:numPr>
        <w:pStyle w:val="Compact"/>
      </w:pPr>
      <w:r>
        <w:t xml:space="preserve">Apple ResearchKit Movement Disorder API (6 Jun 2018)</w:t>
      </w:r>
      <w:r>
        <w:br/>
      </w:r>
      <w:r>
        <w:t xml:space="preserve">https://www.engadget.com/2018-06-06-apple-watch-monitor-parkinsons-symptoms.html</w:t>
      </w:r>
    </w:p>
    <w:p>
      <w:pPr>
        <w:numPr>
          <w:ilvl w:val="0"/>
          <w:numId w:val="1009"/>
        </w:numPr>
        <w:pStyle w:val="Compact"/>
      </w:pPr>
      <w:r>
        <w:t xml:space="preserve">Rune Labs FDA clearance (Jun 2022)</w:t>
      </w:r>
      <w:r>
        <w:br/>
      </w:r>
      <w:r>
        <w:t xml:space="preserve">https://9to5mac.com/2022/06/13/apple-watch-parkinsons/</w:t>
      </w:r>
    </w:p>
    <w:p>
      <w:pPr>
        <w:numPr>
          <w:ilvl w:val="0"/>
          <w:numId w:val="1009"/>
        </w:numPr>
        <w:pStyle w:val="Compact"/>
      </w:pPr>
      <w:r>
        <w:t xml:space="preserve">USD/INR 95.71 (12 Oct 2026)</w:t>
      </w:r>
      <w:r>
        <w:br/>
      </w:r>
      <w:r>
        <w:t xml:space="preserve">https://tradersunion.com/currencies/price/usd-inr/</w:t>
      </w:r>
    </w:p>
    <w:p>
      <w:pPr>
        <w:numPr>
          <w:ilvl w:val="0"/>
          <w:numId w:val="1009"/>
        </w:numPr>
        <w:pStyle w:val="Compact"/>
      </w:pPr>
      <w:r>
        <w:t xml:space="preserve">WHOOP India memberships: One ₹20,890, Peak ₹27,539 (checked 16 Oct 2026)</w:t>
      </w:r>
      <w:r>
        <w:br/>
      </w:r>
      <w:r>
        <w:t xml:space="preserve">https://www.whoop.in/pages/whoop-devices</w:t>
      </w:r>
    </w:p>
    <w:p>
      <w:pPr>
        <w:numPr>
          <w:ilvl w:val="0"/>
          <w:numId w:val="1009"/>
        </w:numPr>
        <w:pStyle w:val="Compact"/>
      </w:pPr>
      <w:r>
        <w:t xml:space="preserve">Garmin Cirqa India launch, ₹25,990 (Business Today, 7 Oct 2026)</w:t>
      </w:r>
      <w:r>
        <w:br/>
      </w:r>
      <w:r>
        <w:t xml:space="preserve">https://www.businesstoday.in/technology/news/story/garmin-cirqa-launched-in-india-at-rs25990-this-screen-free-smart-band-can-track-80-activities-560058-2026-10-07</w:t>
      </w:r>
    </w:p>
    <w:p>
      <w:pPr>
        <w:numPr>
          <w:ilvl w:val="0"/>
          <w:numId w:val="1009"/>
        </w:numPr>
        <w:pStyle w:val="Compact"/>
      </w:pPr>
      <w:r>
        <w:t xml:space="preserve">Amazfit Helio Strap India: official ₹8,999 (MRP ₹17,999), sold out; sellers ₹12,000–15,000 (16 Oct 2026)</w:t>
      </w:r>
      <w:r>
        <w:br/>
      </w:r>
      <w:r>
        <w:t xml:space="preserve">https://in.amazfit.com/products/helio-strap</w:t>
      </w:r>
    </w:p>
    <w:p>
      <w:pPr>
        <w:numPr>
          <w:ilvl w:val="0"/>
          <w:numId w:val="1009"/>
        </w:numPr>
        <w:pStyle w:val="Compact"/>
      </w:pPr>
      <w:r>
        <w:t xml:space="preserve">Google Fitbit Air India launch, ₹13,999 (Free Press Journal)</w:t>
      </w:r>
      <w:r>
        <w:br/>
      </w:r>
      <w:r>
        <w:t xml:space="preserve">https://www.freepressjournal.in/tech/google-fitbit-air-launched-in-india-at-13999-price-specifications</w:t>
      </w:r>
    </w:p>
    <w:p>
      <w:pPr>
        <w:numPr>
          <w:ilvl w:val="0"/>
          <w:numId w:val="1009"/>
        </w:numPr>
        <w:pStyle w:val="Compact"/>
      </w:pPr>
      <w:r>
        <w:t xml:space="preserve">Imported active tremor spoons on desertcart.in: ₹35,980, ₹58,480, ₹1,40,386 (Google Shopping, checked 16 Oct 2026)</w:t>
      </w:r>
      <w:r>
        <w:br/>
      </w:r>
      <w:r>
        <w:t xml:space="preserve">https://www.desertcart.in/</w:t>
      </w:r>
    </w:p>
    <w:p>
      <w:pPr>
        <w:numPr>
          <w:ilvl w:val="0"/>
          <w:numId w:val="1009"/>
        </w:numPr>
        <w:pStyle w:val="Compact"/>
      </w:pPr>
      <w:r>
        <w:t xml:space="preserve">GyroGlove listing, Parkinson's UK tech guide (16 Jun 2026)</w:t>
      </w:r>
      <w:r>
        <w:br/>
      </w:r>
      <w:r>
        <w:t xml:space="preserve">https://techguide.parkinsons.org.uk/catalogue/gyro-glove</w:t>
      </w:r>
    </w:p>
    <w:p>
      <w:pPr>
        <w:numPr>
          <w:ilvl w:val="0"/>
          <w:numId w:val="1009"/>
        </w:numPr>
        <w:pStyle w:val="Compact"/>
      </w:pPr>
      <w:r>
        <w:t xml:space="preserve">Liftware product range and cited study</w:t>
      </w:r>
      <w:r>
        <w:br/>
      </w:r>
      <w:r>
        <w:t xml:space="preserve">https://www.liftware.com/</w:t>
      </w:r>
    </w:p>
    <w:p>
      <w:pPr>
        <w:numPr>
          <w:ilvl w:val="0"/>
          <w:numId w:val="1009"/>
        </w:numPr>
        <w:pStyle w:val="Compact"/>
      </w:pPr>
      <w:r>
        <w:t xml:space="preserve">Weighted soup spoon (WellBefore)</w:t>
      </w:r>
      <w:r>
        <w:br/>
      </w:r>
      <w:r>
        <w:t xml:space="preserve">https://wellbefore.com/products/weighted-soup-spoon</w:t>
      </w:r>
    </w:p>
    <w:p>
      <w:pPr>
        <w:numPr>
          <w:ilvl w:val="0"/>
          <w:numId w:val="1009"/>
        </w:numPr>
        <w:pStyle w:val="Compact"/>
      </w:pPr>
      <w:r>
        <w:t xml:space="preserve">TremoSense repository</w:t>
      </w:r>
      <w:r>
        <w:br/>
      </w:r>
      <w:r>
        <w:t xml:space="preserve">https://github.com/rkt-1597/TremoSense-Project</w:t>
      </w:r>
    </w:p>
    <w:p>
      <w:pPr>
        <w:numPr>
          <w:ilvl w:val="0"/>
          <w:numId w:val="1009"/>
        </w:numPr>
        <w:pStyle w:val="Compact"/>
      </w:pPr>
      <w:r>
        <w:t xml:space="preserve">ParkinSense repository (develop)</w:t>
      </w:r>
      <w:r>
        <w:br/>
      </w:r>
      <w:r>
        <w:t xml:space="preserve">https://github.com/sudo-pranshu/ParkinSense</w:t>
      </w:r>
    </w:p>
    <w:p>
      <w:pPr>
        <w:numPr>
          <w:ilvl w:val="0"/>
          <w:numId w:val="1009"/>
        </w:numPr>
        <w:pStyle w:val="Compact"/>
      </w:pPr>
      <w:r>
        <w:t xml:space="preserve">Hadley, Riley &amp; Heldman, Digital Biomarkers 2021</w:t>
      </w:r>
      <w:r>
        <w:br/>
      </w:r>
      <w:r>
        <w:t xml:space="preserve">https://karger.com/dib/article/5/3/206/823097/Real-World-Evidence-for-a-Smartwatch-Based</w:t>
      </w:r>
    </w:p>
    <w:p>
      <w:pPr>
        <w:numPr>
          <w:ilvl w:val="0"/>
          <w:numId w:val="1009"/>
        </w:numPr>
        <w:pStyle w:val="Compact"/>
      </w:pPr>
      <w:r>
        <w:t xml:space="preserve">Most-endorsed item among people with essential tremor; 63.2% found their tremor embarrassing. Kellner et al., J Neurol Sci 2017</w:t>
      </w:r>
      <w:r>
        <w:br/>
      </w:r>
      <w:r>
        <w:t xml:space="preserve">https://pmc.ncbi.nlm.nih.gov/articles/PMC5739080</w:t>
      </w:r>
    </w:p>
    <w:p>
      <w:pPr>
        <w:numPr>
          <w:ilvl w:val="0"/>
          <w:numId w:val="1009"/>
        </w:numPr>
        <w:pStyle w:val="Compact"/>
      </w:pPr>
      <w:r>
        <w:t xml:space="preserve">Parkinson's caregivers, Southern India. Kurupath, Arathil &amp; Bansal, JCDR 2020</w:t>
      </w:r>
      <w:r>
        <w:br/>
      </w:r>
      <w:r>
        <w:t xml:space="preserve">https://jcdr.net/ReadXMLFile.aspx?id=14384</w:t>
      </w:r>
    </w:p>
    <w:p>
      <w:pPr>
        <w:numPr>
          <w:ilvl w:val="0"/>
          <w:numId w:val="1009"/>
        </w:numPr>
        <w:pStyle w:val="Compact"/>
      </w:pPr>
      <w:r>
        <w:t xml:space="preserve">IDC India wearables market 2024 (3.5 Cr smartwatches; 2.8% advanced)</w:t>
      </w:r>
      <w:r>
        <w:br/>
      </w:r>
      <w:r>
        <w:t xml:space="preserve">https://www.idc.com/getdoc.jsp?containerId=prAP53197625</w:t>
      </w:r>
    </w:p>
    <w:p>
      <w:pPr>
        <w:numPr>
          <w:ilvl w:val="0"/>
          <w:numId w:val="1009"/>
        </w:numPr>
        <w:pStyle w:val="Compact"/>
      </w:pPr>
      <w:r>
        <w:t xml:space="preserve">Census of India 2011 — 31.1% urban population</w:t>
      </w:r>
      <w:r>
        <w:br/>
      </w:r>
      <w:r>
        <w:t xml:space="preserve">https://censusindia.gov.in/</w:t>
      </w:r>
    </w:p>
    <w:p>
      <w:pPr>
        <w:numPr>
          <w:ilvl w:val="0"/>
          <w:numId w:val="1009"/>
        </w:numPr>
        <w:pStyle w:val="Compact"/>
      </w:pPr>
      <w:r>
        <w:t xml:space="preserve">CGST Act 2017, Section 54(3) — refund of unutilised ITC (inverted duty)</w:t>
      </w:r>
      <w:r>
        <w:br/>
      </w:r>
      <w:r>
        <w:t xml:space="preserve">https://cbic-gst.gov.in/</w:t>
      </w:r>
    </w:p>
    <w:p>
      <w:pPr>
        <w:numPr>
          <w:ilvl w:val="0"/>
          <w:numId w:val="1009"/>
        </w:numPr>
        <w:pStyle w:val="Compact"/>
      </w:pPr>
      <w:r>
        <w:t xml:space="preserve">Digital Personal Data Protection Act 2023</w:t>
      </w:r>
      <w:r>
        <w:br/>
      </w:r>
      <w:r>
        <w:t xml:space="preserve">https://www.meity.gov.in/data-protection-framework</w:t>
      </w:r>
    </w:p>
    <w:p>
      <w:pPr>
        <w:numPr>
          <w:ilvl w:val="0"/>
          <w:numId w:val="1009"/>
        </w:numPr>
        <w:pStyle w:val="Compact"/>
      </w:pPr>
      <w:r>
        <w:t xml:space="preserve">E-Waste (Management) Rules 2022</w:t>
      </w:r>
      <w:r>
        <w:br/>
      </w:r>
      <w:r>
        <w:t xml:space="preserve">https://cpcb.nic.in/e-waste/</w:t>
      </w:r>
    </w:p>
    <w:p>
      <w:pPr>
        <w:numPr>
          <w:ilvl w:val="0"/>
          <w:numId w:val="1009"/>
        </w:numPr>
        <w:pStyle w:val="Compact"/>
      </w:pPr>
      <w:r>
        <w:t xml:space="preserve">AVERRA pitch website</w:t>
      </w:r>
      <w:r>
        <w:br/>
      </w:r>
      <w:r>
        <w:t xml:space="preserve">https://averraproject.vercel.app</w:t>
      </w:r>
    </w:p>
    <w:bookmarkEnd w:id="121"/>
    <w:bookmarkEnd w:id="122"/>
    <w:bookmarkStart w:id="127" w:name="EVI"/>
    <w:bookmarkStart w:id="126" w:name="evidence-appendix"/>
    <w:p>
      <w:pPr>
        <w:pStyle w:val="Heading1"/>
      </w:pPr>
      <w:r>
        <w:t xml:space="preserve">Evidence appendix</w:t>
      </w:r>
    </w:p>
    <w:bookmarkStart w:id="123" w:name="evidence-status-of-all-15-models"/>
    <w:p>
      <w:pPr>
        <w:pStyle w:val="Heading2"/>
      </w:pPr>
      <w:r>
        <w:t xml:space="preserve">Evidence status of all 15 models</w:t>
      </w:r>
    </w:p>
    <w:tbl>
      <w:tblPr>
        <w:tblStyle w:val="Table"/>
        <w:tblW w:type="pct" w:w="5000"/>
        <w:tblLook w:firstRow="1" w:lastRow="0" w:firstColumn="0" w:lastColumn="0" w:noHBand="0" w:noVBand="0" w:val="0020"/>
        <w:jc w:val="start"/>
      </w:tblPr>
      <w:tblGrid>
        <w:gridCol w:w="792"/>
        <w:gridCol w:w="4356"/>
        <w:gridCol w:w="2772"/>
      </w:tblGrid>
      <w:tr>
        <w:trPr>
          <w:tblHeader w:val="true"/>
        </w:trPr>
        <w:tc>
          <w:tcPr/>
          <w:p>
            <w:pPr>
              <w:pStyle w:val="Compact"/>
              <w:jc w:val="left"/>
            </w:pPr>
            <w:r>
              <w:t xml:space="preserve">Model</w:t>
            </w:r>
          </w:p>
        </w:tc>
        <w:tc>
          <w:tcPr/>
          <w:p>
            <w:pPr>
              <w:pStyle w:val="Compact"/>
              <w:jc w:val="left"/>
            </w:pPr>
            <w:r>
              <w:t xml:space="preserve">Title</w:t>
            </w:r>
          </w:p>
        </w:tc>
        <w:tc>
          <w:tcPr/>
          <w:p>
            <w:pPr>
              <w:pStyle w:val="Compact"/>
              <w:jc w:val="left"/>
            </w:pPr>
            <w:r>
              <w:t xml:space="preserve">Status</w:t>
            </w:r>
          </w:p>
        </w:tc>
      </w:tr>
      <w:tr>
        <w:tc>
          <w:tcPr/>
          <w:p>
            <w:pPr>
              <w:pStyle w:val="Compact"/>
              <w:jc w:val="left"/>
            </w:pPr>
            <w:r>
              <w:t xml:space="preserve">M1.1</w:t>
            </w:r>
          </w:p>
        </w:tc>
        <w:tc>
          <w:tcPr/>
          <w:p>
            <w:pPr>
              <w:pStyle w:val="Compact"/>
              <w:jc w:val="left"/>
            </w:pPr>
            <w:r>
              <w:t xml:space="preserve">Customer-Discovery Evidence Pack</w:t>
            </w:r>
          </w:p>
        </w:tc>
        <w:tc>
          <w:tcPr/>
          <w:p>
            <w:pPr>
              <w:pStyle w:val="Compact"/>
              <w:jc w:val="left"/>
            </w:pPr>
            <w:r>
              <w:t xml:space="preserve">Completed · simulated interview case study</w:t>
            </w:r>
          </w:p>
        </w:tc>
      </w:tr>
      <w:tr>
        <w:tc>
          <w:tcPr/>
          <w:p>
            <w:pPr>
              <w:pStyle w:val="Compact"/>
              <w:jc w:val="left"/>
            </w:pPr>
            <w:r>
              <w:t xml:space="preserve">M1.2</w:t>
            </w:r>
          </w:p>
        </w:tc>
        <w:tc>
          <w:tcPr/>
          <w:p>
            <w:pPr>
              <w:pStyle w:val="Compact"/>
              <w:jc w:val="left"/>
            </w:pPr>
            <w:r>
              <w:t xml:space="preserve">Opportunity Scorecard &amp; “Why Now?” Memo</w:t>
            </w:r>
          </w:p>
        </w:tc>
        <w:tc>
          <w:tcPr/>
          <w:p>
            <w:pPr>
              <w:pStyle w:val="Compact"/>
              <w:jc w:val="left"/>
            </w:pPr>
            <w:r>
              <w:t xml:space="preserve">Completed · sourced and model figures</w:t>
            </w:r>
          </w:p>
        </w:tc>
      </w:tr>
      <w:tr>
        <w:tc>
          <w:tcPr/>
          <w:p>
            <w:pPr>
              <w:pStyle w:val="Compact"/>
              <w:jc w:val="left"/>
            </w:pPr>
            <w:r>
              <w:t xml:space="preserve">M1.3</w:t>
            </w:r>
          </w:p>
        </w:tc>
        <w:tc>
          <w:tcPr/>
          <w:p>
            <w:pPr>
              <w:pStyle w:val="Compact"/>
              <w:jc w:val="left"/>
            </w:pPr>
            <w:r>
              <w:t xml:space="preserve">Venture Money-Model &amp; First-Budget Pack</w:t>
            </w:r>
          </w:p>
        </w:tc>
        <w:tc>
          <w:tcPr/>
          <w:p>
            <w:pPr>
              <w:pStyle w:val="Compact"/>
              <w:jc w:val="left"/>
            </w:pPr>
            <w:r>
              <w:t xml:space="preserve">Completed · model figures</w:t>
            </w:r>
          </w:p>
        </w:tc>
      </w:tr>
      <w:tr>
        <w:tc>
          <w:tcPr/>
          <w:p>
            <w:pPr>
              <w:pStyle w:val="Compact"/>
              <w:jc w:val="left"/>
            </w:pPr>
            <w:r>
              <w:t xml:space="preserve">M2.1</w:t>
            </w:r>
          </w:p>
        </w:tc>
        <w:tc>
          <w:tcPr/>
          <w:p>
            <w:pPr>
              <w:pStyle w:val="Compact"/>
              <w:jc w:val="left"/>
            </w:pPr>
            <w:r>
              <w:t xml:space="preserve">Evidence-Backed Business Model Canvas + Value Proposition Canvas</w:t>
            </w:r>
          </w:p>
        </w:tc>
        <w:tc>
          <w:tcPr/>
          <w:p>
            <w:pPr>
              <w:pStyle w:val="Compact"/>
              <w:jc w:val="left"/>
            </w:pPr>
            <w:r>
              <w:t xml:space="preserve">Completed</w:t>
            </w:r>
          </w:p>
        </w:tc>
      </w:tr>
      <w:tr>
        <w:tc>
          <w:tcPr/>
          <w:p>
            <w:pPr>
              <w:pStyle w:val="Compact"/>
              <w:jc w:val="left"/>
            </w:pPr>
            <w:r>
              <w:t xml:space="preserve">M2.2</w:t>
            </w:r>
          </w:p>
        </w:tc>
        <w:tc>
          <w:tcPr/>
          <w:p>
            <w:pPr>
              <w:pStyle w:val="Compact"/>
              <w:jc w:val="left"/>
            </w:pPr>
            <w:r>
              <w:t xml:space="preserve">MVP Validation Experiment &amp; Decision</w:t>
            </w:r>
          </w:p>
        </w:tc>
        <w:tc>
          <w:tcPr/>
          <w:p>
            <w:pPr>
              <w:pStyle w:val="Compact"/>
              <w:jc w:val="left"/>
            </w:pPr>
            <w:r>
              <w:t xml:space="preserve">Completed · simulated semester pilot; funded study planned</w:t>
            </w:r>
          </w:p>
        </w:tc>
      </w:tr>
      <w:tr>
        <w:tc>
          <w:tcPr/>
          <w:p>
            <w:pPr>
              <w:pStyle w:val="Compact"/>
              <w:jc w:val="left"/>
            </w:pPr>
            <w:r>
              <w:t xml:space="preserve">M2.3</w:t>
            </w:r>
          </w:p>
        </w:tc>
        <w:tc>
          <w:tcPr/>
          <w:p>
            <w:pPr>
              <w:pStyle w:val="Compact"/>
              <w:jc w:val="left"/>
            </w:pPr>
            <w:r>
              <w:t xml:space="preserve">Pricing, Margin &amp; Funnel Performance Pack</w:t>
            </w:r>
          </w:p>
        </w:tc>
        <w:tc>
          <w:tcPr/>
          <w:p>
            <w:pPr>
              <w:pStyle w:val="Compact"/>
              <w:jc w:val="left"/>
            </w:pPr>
            <w:r>
              <w:t xml:space="preserve">Completed · model pricing; simulated funnel</w:t>
            </w:r>
          </w:p>
        </w:tc>
      </w:tr>
      <w:tr>
        <w:tc>
          <w:tcPr/>
          <w:p>
            <w:pPr>
              <w:pStyle w:val="Compact"/>
              <w:jc w:val="left"/>
            </w:pPr>
            <w:r>
              <w:t xml:space="preserve">M3.1</w:t>
            </w:r>
          </w:p>
        </w:tc>
        <w:tc>
          <w:tcPr/>
          <w:p>
            <w:pPr>
              <w:pStyle w:val="Compact"/>
              <w:jc w:val="left"/>
            </w:pPr>
            <w:r>
              <w:t xml:space="preserve">Operating System &amp; Delivery-Process Blueprint</w:t>
            </w:r>
          </w:p>
        </w:tc>
        <w:tc>
          <w:tcPr/>
          <w:p>
            <w:pPr>
              <w:pStyle w:val="Compact"/>
              <w:jc w:val="left"/>
            </w:pPr>
            <w:r>
              <w:t xml:space="preserve">Completed · estimated timings</w:t>
            </w:r>
          </w:p>
        </w:tc>
      </w:tr>
      <w:tr>
        <w:tc>
          <w:tcPr/>
          <w:p>
            <w:pPr>
              <w:pStyle w:val="Compact"/>
              <w:jc w:val="left"/>
            </w:pPr>
            <w:r>
              <w:t xml:space="preserve">M3.2</w:t>
            </w:r>
          </w:p>
        </w:tc>
        <w:tc>
          <w:tcPr/>
          <w:p>
            <w:pPr>
              <w:pStyle w:val="Compact"/>
              <w:jc w:val="left"/>
            </w:pPr>
            <w:r>
              <w:t xml:space="preserve">Unit-Economics &amp; Runway Model</w:t>
            </w:r>
          </w:p>
        </w:tc>
        <w:tc>
          <w:tcPr/>
          <w:p>
            <w:pPr>
              <w:pStyle w:val="Compact"/>
              <w:jc w:val="left"/>
            </w:pPr>
            <w:r>
              <w:t xml:space="preserve">Completed · model forecast</w:t>
            </w:r>
          </w:p>
        </w:tc>
      </w:tr>
      <w:tr>
        <w:tc>
          <w:tcPr/>
          <w:p>
            <w:pPr>
              <w:pStyle w:val="Compact"/>
              <w:jc w:val="left"/>
            </w:pPr>
            <w:r>
              <w:t xml:space="preserve">M3.3</w:t>
            </w:r>
          </w:p>
        </w:tc>
        <w:tc>
          <w:tcPr/>
          <w:p>
            <w:pPr>
              <w:pStyle w:val="Compact"/>
              <w:jc w:val="left"/>
            </w:pPr>
            <w:r>
              <w:t xml:space="preserve">Legal-Structure, GST &amp; Compliance Blueprint</w:t>
            </w:r>
          </w:p>
        </w:tc>
        <w:tc>
          <w:tcPr/>
          <w:p>
            <w:pPr>
              <w:pStyle w:val="Compact"/>
              <w:jc w:val="left"/>
            </w:pPr>
            <w:r>
              <w:t xml:space="preserve">Completed · illustrative GST working</w:t>
            </w:r>
          </w:p>
        </w:tc>
      </w:tr>
      <w:tr>
        <w:tc>
          <w:tcPr/>
          <w:p>
            <w:pPr>
              <w:pStyle w:val="Compact"/>
              <w:jc w:val="left"/>
            </w:pPr>
            <w:r>
              <w:t xml:space="preserve">M4.1</w:t>
            </w:r>
          </w:p>
        </w:tc>
        <w:tc>
          <w:tcPr/>
          <w:p>
            <w:pPr>
              <w:pStyle w:val="Compact"/>
              <w:jc w:val="left"/>
            </w:pPr>
            <w:r>
              <w:t xml:space="preserve">Team &amp; Incentive Blueprint</w:t>
            </w:r>
          </w:p>
        </w:tc>
        <w:tc>
          <w:tcPr/>
          <w:p>
            <w:pPr>
              <w:pStyle w:val="Compact"/>
              <w:jc w:val="left"/>
            </w:pPr>
            <w:r>
              <w:t xml:space="preserve">Completed · simulated mock interview</w:t>
            </w:r>
          </w:p>
        </w:tc>
      </w:tr>
      <w:tr>
        <w:tc>
          <w:tcPr/>
          <w:p>
            <w:pPr>
              <w:pStyle w:val="Compact"/>
              <w:jc w:val="left"/>
            </w:pPr>
            <w:r>
              <w:t xml:space="preserve">M4.2</w:t>
            </w:r>
          </w:p>
        </w:tc>
        <w:tc>
          <w:tcPr/>
          <w:p>
            <w:pPr>
              <w:pStyle w:val="Compact"/>
              <w:jc w:val="left"/>
            </w:pPr>
            <w:r>
              <w:t xml:space="preserve">Growth-Engine Dashboard</w:t>
            </w:r>
          </w:p>
        </w:tc>
        <w:tc>
          <w:tcPr/>
          <w:p>
            <w:pPr>
              <w:pStyle w:val="Compact"/>
              <w:jc w:val="left"/>
            </w:pPr>
            <w:r>
              <w:t xml:space="preserve">Completed · simulated campaign data</w:t>
            </w:r>
          </w:p>
        </w:tc>
      </w:tr>
      <w:tr>
        <w:tc>
          <w:tcPr/>
          <w:p>
            <w:pPr>
              <w:pStyle w:val="Compact"/>
              <w:jc w:val="left"/>
            </w:pPr>
            <w:r>
              <w:t xml:space="preserve">M4.3</w:t>
            </w:r>
          </w:p>
        </w:tc>
        <w:tc>
          <w:tcPr/>
          <w:p>
            <w:pPr>
              <w:pStyle w:val="Compact"/>
              <w:jc w:val="left"/>
            </w:pPr>
            <w:r>
              <w:t xml:space="preserve">Fundraising Model, Cap Table &amp; Investor Pitch</w:t>
            </w:r>
          </w:p>
        </w:tc>
        <w:tc>
          <w:tcPr/>
          <w:p>
            <w:pPr>
              <w:pStyle w:val="Compact"/>
              <w:jc w:val="left"/>
            </w:pPr>
            <w:r>
              <w:t xml:space="preserve">Completed · model figures</w:t>
            </w:r>
          </w:p>
        </w:tc>
      </w:tr>
      <w:tr>
        <w:tc>
          <w:tcPr/>
          <w:p>
            <w:pPr>
              <w:pStyle w:val="Compact"/>
              <w:jc w:val="left"/>
            </w:pPr>
            <w:r>
              <w:t xml:space="preserve">M5.1</w:t>
            </w:r>
          </w:p>
        </w:tc>
        <w:tc>
          <w:tcPr/>
          <w:p>
            <w:pPr>
              <w:pStyle w:val="Compact"/>
              <w:jc w:val="left"/>
            </w:pPr>
            <w:r>
              <w:t xml:space="preserve">Sustainable &amp; Ethical Enterprise Blueprint</w:t>
            </w:r>
          </w:p>
        </w:tc>
        <w:tc>
          <w:tcPr/>
          <w:p>
            <w:pPr>
              <w:pStyle w:val="Compact"/>
              <w:jc w:val="left"/>
            </w:pPr>
            <w:r>
              <w:t xml:space="preserve">Completed</w:t>
            </w:r>
          </w:p>
        </w:tc>
      </w:tr>
      <w:tr>
        <w:tc>
          <w:tcPr/>
          <w:p>
            <w:pPr>
              <w:pStyle w:val="Compact"/>
              <w:jc w:val="left"/>
            </w:pPr>
            <w:r>
              <w:t xml:space="preserve">M5.2</w:t>
            </w:r>
          </w:p>
        </w:tc>
        <w:tc>
          <w:tcPr/>
          <w:p>
            <w:pPr>
              <w:pStyle w:val="Compact"/>
              <w:jc w:val="left"/>
            </w:pPr>
            <w:r>
              <w:t xml:space="preserve">Live Launch &amp; Iteration Report</w:t>
            </w:r>
          </w:p>
        </w:tc>
        <w:tc>
          <w:tcPr/>
          <w:p>
            <w:pPr>
              <w:pStyle w:val="Compact"/>
              <w:jc w:val="left"/>
            </w:pPr>
            <w:r>
              <w:t xml:space="preserve">Completed · simulated pilot launch</w:t>
            </w:r>
          </w:p>
        </w:tc>
      </w:tr>
      <w:tr>
        <w:tc>
          <w:tcPr/>
          <w:p>
            <w:pPr>
              <w:pStyle w:val="Compact"/>
              <w:jc w:val="left"/>
            </w:pPr>
            <w:r>
              <w:t xml:space="preserve">M5.3</w:t>
            </w:r>
          </w:p>
        </w:tc>
        <w:tc>
          <w:tcPr/>
          <w:p>
            <w:pPr>
              <w:pStyle w:val="Compact"/>
              <w:jc w:val="left"/>
            </w:pPr>
            <w:r>
              <w:t xml:space="preserve">Full Venture Launch &amp; Fundraising Package</w:t>
            </w:r>
          </w:p>
        </w:tc>
        <w:tc>
          <w:tcPr/>
          <w:p>
            <w:pPr>
              <w:pStyle w:val="Compact"/>
              <w:jc w:val="left"/>
            </w:pPr>
            <w:r>
              <w:t xml:space="preserve">Completed · thesis draft</w:t>
            </w:r>
          </w:p>
        </w:tc>
      </w:tr>
    </w:tbl>
    <w:bookmarkEnd w:id="123"/>
    <w:bookmarkStart w:id="124" w:name="evidence-already-in-hand"/>
    <w:p>
      <w:pPr>
        <w:pStyle w:val="Heading2"/>
      </w:pPr>
      <w:r>
        <w:t xml:space="preserve">Evidence already in hand</w:t>
      </w:r>
    </w:p>
    <w:p>
      <w:pPr>
        <w:numPr>
          <w:ilvl w:val="0"/>
          <w:numId w:val="1010"/>
        </w:numPr>
        <w:pStyle w:val="Compact"/>
      </w:pPr>
      <w:r>
        <w:t xml:space="preserve">Two working prototypes and repositories (ParkinSense develop branch; TremoSense project).</w:t>
      </w:r>
    </w:p>
    <w:p>
      <w:pPr>
        <w:numPr>
          <w:ilvl w:val="0"/>
          <w:numId w:val="1010"/>
        </w:numPr>
        <w:pStyle w:val="Compact"/>
      </w:pPr>
      <w:r>
        <w:t xml:space="preserve">Bench results: ParkinSense 8/8 bench conditions, ≈7 mA; TremoSense ≈90% bench rejection (founder-reported, logs to be published).</w:t>
      </w:r>
    </w:p>
    <w:p>
      <w:pPr>
        <w:numPr>
          <w:ilvl w:val="0"/>
          <w:numId w:val="1010"/>
        </w:numPr>
        <w:pStyle w:val="Compact"/>
      </w:pPr>
      <w:r>
        <w:t xml:space="preserve">Dated, sourced market and competitor figures (References).</w:t>
      </w:r>
    </w:p>
    <w:p>
      <w:pPr>
        <w:numPr>
          <w:ilvl w:val="0"/>
          <w:numId w:val="1010"/>
        </w:numPr>
        <w:pStyle w:val="Compact"/>
      </w:pPr>
      <w:r>
        <w:t xml:space="preserve">Financial model with live formulas (11 sheets).</w:t>
      </w:r>
    </w:p>
    <w:p>
      <w:pPr>
        <w:numPr>
          <w:ilvl w:val="0"/>
          <w:numId w:val="1010"/>
        </w:numPr>
        <w:pStyle w:val="Compact"/>
      </w:pPr>
      <w:r>
        <w:t xml:space="preserve">ParkinSense dashboard screenshot reading tremor at 4.88 Hz (pitch website).</w:t>
      </w:r>
    </w:p>
    <w:bookmarkEnd w:id="124"/>
    <w:bookmarkStart w:id="125" w:name="Xb835ff0038e5cae69c0bbc2ff8259a03cb9fde2"/>
    <w:p>
      <w:pPr>
        <w:pStyle w:val="Heading2"/>
      </w:pPr>
      <w:r>
        <w:t xml:space="preserve">Real evidence still to collect (replaces simulated entries)</w:t>
      </w:r>
    </w:p>
    <w:tbl>
      <w:tblPr>
        <w:tblStyle w:val="Table"/>
        <w:tblW w:type="pct" w:w="5000"/>
        <w:tblLook w:firstRow="1" w:lastRow="0" w:firstColumn="0" w:lastColumn="0" w:noHBand="0" w:noVBand="0" w:val="0020"/>
        <w:jc w:val="start"/>
      </w:tblPr>
      <w:tblGrid>
        <w:gridCol w:w="950"/>
        <w:gridCol w:w="3326"/>
        <w:gridCol w:w="3009"/>
        <w:gridCol w:w="633"/>
      </w:tblGrid>
      <w:tr>
        <w:trPr>
          <w:tblHeader w:val="true"/>
        </w:trPr>
        <w:tc>
          <w:tcPr/>
          <w:p>
            <w:pPr>
              <w:pStyle w:val="Compact"/>
              <w:jc w:val="left"/>
            </w:pPr>
            <w:r>
              <w:t xml:space="preserve">Model</w:t>
            </w:r>
          </w:p>
        </w:tc>
        <w:tc>
          <w:tcPr/>
          <w:p>
            <w:pPr>
              <w:pStyle w:val="Compact"/>
              <w:jc w:val="left"/>
            </w:pPr>
            <w:r>
              <w:t xml:space="preserve">Item still to be evidenced</w:t>
            </w:r>
          </w:p>
        </w:tc>
        <w:tc>
          <w:tcPr/>
          <w:p>
            <w:pPr>
              <w:pStyle w:val="Compact"/>
              <w:jc w:val="left"/>
            </w:pPr>
            <w:r>
              <w:t xml:space="preserve">How to collect it</w:t>
            </w:r>
          </w:p>
        </w:tc>
        <w:tc>
          <w:tcPr/>
          <w:p>
            <w:pPr>
              <w:pStyle w:val="Compact"/>
              <w:jc w:val="left"/>
            </w:pPr>
            <w:r>
              <w:t xml:space="preserve">Done</w:t>
            </w:r>
          </w:p>
        </w:tc>
      </w:tr>
      <w:tr>
        <w:tc>
          <w:tcPr/>
          <w:p>
            <w:pPr>
              <w:pStyle w:val="Compact"/>
              <w:jc w:val="left"/>
            </w:pPr>
            <w:r>
              <w:t xml:space="preserve">M1.1</w:t>
            </w:r>
          </w:p>
        </w:tc>
        <w:tc>
          <w:tcPr/>
          <w:p>
            <w:pPr>
              <w:pStyle w:val="Compact"/>
              <w:jc w:val="left"/>
            </w:pPr>
            <w:r>
              <w:t xml:space="preserve">Interview records (5+), consent and verbatim notes</w:t>
            </w:r>
          </w:p>
        </w:tc>
        <w:tc>
          <w:tcPr/>
          <w:p>
            <w:pPr>
              <w:pStyle w:val="Compact"/>
              <w:jc w:val="left"/>
            </w:pPr>
            <w:r>
              <w:t xml:space="preserve">PD/ET patients and caregivers via clinics and support groups</w:t>
            </w:r>
          </w:p>
        </w:tc>
        <w:tc>
          <w:tcPr/>
          <w:p>
            <w:pPr>
              <w:pStyle w:val="Compact"/>
              <w:jc w:val="left"/>
            </w:pPr>
            <w:r>
              <w:t xml:space="preserve">☐</w:t>
            </w:r>
          </w:p>
        </w:tc>
      </w:tr>
      <w:tr>
        <w:tc>
          <w:tcPr/>
          <w:p>
            <w:pPr>
              <w:pStyle w:val="Compact"/>
              <w:jc w:val="left"/>
            </w:pPr>
            <w:r>
              <w:t xml:space="preserve">M2.2</w:t>
            </w:r>
          </w:p>
        </w:tc>
        <w:tc>
          <w:tcPr/>
          <w:p>
            <w:pPr>
              <w:pStyle w:val="Compact"/>
              <w:jc w:val="left"/>
            </w:pPr>
            <w:r>
              <w:t xml:space="preserve">Funded study results (n ≥ 10); published bench logs for the ≈90% figure</w:t>
            </w:r>
          </w:p>
        </w:tc>
        <w:tc>
          <w:tcPr/>
          <w:p>
            <w:pPr>
              <w:pStyle w:val="Compact"/>
              <w:jc w:val="left"/>
            </w:pPr>
            <w:r>
              <w:t xml:space="preserve">After ethics approval; publish logs in the repository</w:t>
            </w:r>
          </w:p>
        </w:tc>
        <w:tc>
          <w:tcPr/>
          <w:p>
            <w:pPr>
              <w:pStyle w:val="Compact"/>
              <w:jc w:val="left"/>
            </w:pPr>
            <w:r>
              <w:t xml:space="preserve">☐</w:t>
            </w:r>
          </w:p>
        </w:tc>
      </w:tr>
      <w:tr>
        <w:tc>
          <w:tcPr/>
          <w:p>
            <w:pPr>
              <w:pStyle w:val="Compact"/>
              <w:jc w:val="left"/>
            </w:pPr>
            <w:r>
              <w:t xml:space="preserve">M2.3 / M4.2</w:t>
            </w:r>
          </w:p>
        </w:tc>
        <w:tc>
          <w:tcPr/>
          <w:p>
            <w:pPr>
              <w:pStyle w:val="Compact"/>
              <w:jc w:val="left"/>
            </w:pPr>
            <w:r>
              <w:t xml:space="preserve">Campaign dashboard export; deposit receipts</w:t>
            </w:r>
          </w:p>
        </w:tc>
        <w:tc>
          <w:tcPr/>
          <w:p>
            <w:pPr>
              <w:pStyle w:val="Compact"/>
              <w:jc w:val="left"/>
            </w:pPr>
            <w:r>
              <w:t xml:space="preserve">Run the ₹500 boost; UPI receipts</w:t>
            </w:r>
          </w:p>
        </w:tc>
        <w:tc>
          <w:tcPr/>
          <w:p>
            <w:pPr>
              <w:pStyle w:val="Compact"/>
              <w:jc w:val="left"/>
            </w:pPr>
            <w:r>
              <w:t xml:space="preserve">☐</w:t>
            </w:r>
          </w:p>
        </w:tc>
      </w:tr>
      <w:tr>
        <w:tc>
          <w:tcPr/>
          <w:p>
            <w:pPr>
              <w:pStyle w:val="Compact"/>
              <w:jc w:val="left"/>
            </w:pPr>
            <w:r>
              <w:t xml:space="preserve">M4.1</w:t>
            </w:r>
          </w:p>
        </w:tc>
        <w:tc>
          <w:tcPr/>
          <w:p>
            <w:pPr>
              <w:pStyle w:val="Compact"/>
              <w:jc w:val="left"/>
            </w:pPr>
            <w:r>
              <w:t xml:space="preserve">Signed founders' agreement with agreed scores</w:t>
            </w:r>
          </w:p>
        </w:tc>
        <w:tc>
          <w:tcPr/>
          <w:p>
            <w:pPr>
              <w:pStyle w:val="Compact"/>
              <w:jc w:val="left"/>
            </w:pPr>
            <w:r>
              <w:t xml:space="preserve">Founders' meeting; CA/lawyer review</w:t>
            </w:r>
          </w:p>
        </w:tc>
        <w:tc>
          <w:tcPr/>
          <w:p>
            <w:pPr>
              <w:pStyle w:val="Compact"/>
              <w:jc w:val="left"/>
            </w:pPr>
            <w:r>
              <w:t xml:space="preserve">☐</w:t>
            </w:r>
          </w:p>
        </w:tc>
      </w:tr>
      <w:tr>
        <w:tc>
          <w:tcPr/>
          <w:p>
            <w:pPr>
              <w:pStyle w:val="Compact"/>
              <w:jc w:val="left"/>
            </w:pPr>
            <w:r>
              <w:t xml:space="preserve">M5.2</w:t>
            </w:r>
          </w:p>
        </w:tc>
        <w:tc>
          <w:tcPr/>
          <w:p>
            <w:pPr>
              <w:pStyle w:val="Compact"/>
              <w:jc w:val="left"/>
            </w:pPr>
            <w:r>
              <w:t xml:space="preserve">Pilot feedback records and the handle re-test log</w:t>
            </w:r>
          </w:p>
        </w:tc>
        <w:tc>
          <w:tcPr/>
          <w:p>
            <w:pPr>
              <w:pStyle w:val="Compact"/>
              <w:jc w:val="left"/>
            </w:pPr>
            <w:r>
              <w:t xml:space="preserve">Session notes; WhatsApp check-ins</w:t>
            </w:r>
          </w:p>
        </w:tc>
        <w:tc>
          <w:tcPr/>
          <w:p>
            <w:pPr>
              <w:pStyle w:val="Compact"/>
              <w:jc w:val="left"/>
            </w:pPr>
            <w:r>
              <w:t xml:space="preserve">☐</w:t>
            </w:r>
          </w:p>
        </w:tc>
      </w:tr>
      <w:tr>
        <w:tc>
          <w:tcPr/>
          <w:p>
            <w:pPr>
              <w:pStyle w:val="Compact"/>
              <w:jc w:val="left"/>
            </w:pPr>
            <w:r>
              <w:t xml:space="preserve">All</w:t>
            </w:r>
          </w:p>
        </w:tc>
        <w:tc>
          <w:tcPr/>
          <w:p>
            <w:pPr>
              <w:pStyle w:val="Compact"/>
              <w:jc w:val="left"/>
            </w:pPr>
            <w:r>
              <w:t xml:space="preserve">ICMR clinical-evaluation results (ParkinSense)</w:t>
            </w:r>
          </w:p>
        </w:tc>
        <w:tc>
          <w:tcPr/>
          <w:p>
            <w:pPr>
              <w:pStyle w:val="Compact"/>
              <w:jc w:val="left"/>
            </w:pPr>
            <w:r>
              <w:t xml:space="preserve">Add when published; no clinical claim before then</w:t>
            </w:r>
          </w:p>
        </w:tc>
        <w:tc>
          <w:tcPr/>
          <w:p>
            <w:pPr>
              <w:pStyle w:val="Compact"/>
              <w:jc w:val="left"/>
            </w:pPr>
            <w:r>
              <w:t xml:space="preserve">☐</w:t>
            </w:r>
          </w:p>
        </w:tc>
      </w:tr>
      <w:tr>
        <w:tc>
          <w:tcPr/>
          <w:p>
            <w:pPr>
              <w:pStyle w:val="Compact"/>
              <w:jc w:val="left"/>
            </w:pPr>
            <w:r>
              <w:t xml:space="preserve">All</w:t>
            </w:r>
          </w:p>
        </w:tc>
        <w:tc>
          <w:tcPr/>
          <w:p>
            <w:pPr>
              <w:pStyle w:val="Compact"/>
              <w:jc w:val="left"/>
            </w:pPr>
            <w:r>
              <w:t xml:space="preserve">Provisional patent filing receipt (filing planned)</w:t>
            </w:r>
          </w:p>
        </w:tc>
        <w:tc>
          <w:tcPr/>
          <w:p>
            <w:pPr>
              <w:pStyle w:val="Compact"/>
              <w:jc w:val="left"/>
            </w:pPr>
            <w:r>
              <w:t xml:space="preserve">File and attach the receipt</w:t>
            </w:r>
          </w:p>
        </w:tc>
        <w:tc>
          <w:tcPr/>
          <w:p>
            <w:pPr>
              <w:pStyle w:val="Compact"/>
              <w:jc w:val="left"/>
            </w:pPr>
            <w:r>
              <w:t xml:space="preserve">☐</w:t>
            </w:r>
          </w:p>
        </w:tc>
      </w:tr>
    </w:tbl>
    <w:bookmarkEnd w:id="125"/>
    <w:bookmarkEnd w:id="126"/>
    <w:bookmarkEnd w:id="127"/>
    <w:bookmarkStart w:id="129" w:name="INC"/>
    <w:bookmarkStart w:id="128" w:name="consistency-review"/>
    <w:p>
      <w:pPr>
        <w:pStyle w:val="Heading1"/>
      </w:pPr>
      <w:r>
        <w:t xml:space="preserve">Consistency review</w:t>
      </w:r>
    </w:p>
    <w:p>
      <w:pPr>
        <w:pStyle w:val="FirstParagraph"/>
      </w:pPr>
      <w:r>
        <w:t xml:space="preserve">Cross-checks between this portfolio, the pitch deck, the website and the financial model.</w:t>
      </w:r>
    </w:p>
    <w:tbl>
      <w:tblPr>
        <w:tblStyle w:val="Table"/>
        <w:tblW w:type="pct" w:w="5000"/>
        <w:tblLook w:firstRow="1" w:lastRow="0" w:firstColumn="0" w:lastColumn="0" w:noHBand="0" w:noVBand="0" w:val="0020"/>
        <w:jc w:val="start"/>
      </w:tblPr>
      <w:tblGrid>
        <w:gridCol w:w="316"/>
        <w:gridCol w:w="2692"/>
        <w:gridCol w:w="3643"/>
        <w:gridCol w:w="1267"/>
      </w:tblGrid>
      <w:tr>
        <w:trPr>
          <w:tblHeader w:val="true"/>
        </w:trPr>
        <w:tc>
          <w:tcPr/>
          <w:p>
            <w:pPr>
              <w:pStyle w:val="Compact"/>
              <w:jc w:val="left"/>
            </w:pPr>
            <w:r>
              <w:t xml:space="preserve">#</w:t>
            </w:r>
          </w:p>
        </w:tc>
        <w:tc>
          <w:tcPr/>
          <w:p>
            <w:pPr>
              <w:pStyle w:val="Compact"/>
              <w:jc w:val="left"/>
            </w:pPr>
            <w:r>
              <w:t xml:space="preserve">Item</w:t>
            </w:r>
          </w:p>
        </w:tc>
        <w:tc>
          <w:tcPr/>
          <w:p>
            <w:pPr>
              <w:pStyle w:val="Compact"/>
              <w:jc w:val="left"/>
            </w:pPr>
            <w:r>
              <w:t xml:space="preserve">Resolution in this portfolio</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Course asks for a 10–14 slide pitch; deck and website have 17</w:t>
            </w:r>
          </w:p>
        </w:tc>
        <w:tc>
          <w:tcPr/>
          <w:p>
            <w:pPr>
              <w:pStyle w:val="Compact"/>
              <w:jc w:val="left"/>
            </w:pPr>
            <w:r>
              <w:t xml:space="preserve">14-slide timed version: merge Why now into Problem, move Architecture to backup, fold Advantage into the close</w:t>
            </w:r>
          </w:p>
        </w:tc>
        <w:tc>
          <w:tcPr/>
          <w:p>
            <w:pPr>
              <w:pStyle w:val="Compact"/>
              <w:jc w:val="left"/>
            </w:pPr>
            <w:r>
              <w:t xml:space="preserve">Open (deck)</w:t>
            </w:r>
          </w:p>
        </w:tc>
      </w:tr>
      <w:tr>
        <w:tc>
          <w:tcPr/>
          <w:p>
            <w:pPr>
              <w:pStyle w:val="Compact"/>
              <w:jc w:val="left"/>
            </w:pPr>
            <w:r>
              <w:t xml:space="preserve">2</w:t>
            </w:r>
          </w:p>
        </w:tc>
        <w:tc>
          <w:tcPr/>
          <w:p>
            <w:pPr>
              <w:pStyle w:val="Compact"/>
              <w:jc w:val="left"/>
            </w:pPr>
            <w:r>
              <w:t xml:space="preserve">Problem slide quotes published research, not own interviews</w:t>
            </w:r>
          </w:p>
        </w:tc>
        <w:tc>
          <w:tcPr/>
          <w:p>
            <w:pPr>
              <w:pStyle w:val="Compact"/>
              <w:jc w:val="left"/>
            </w:pPr>
            <w:r>
              <w:t xml:space="preserve">M1.1 adds interview records; deck to add 2–3 quotes once real records exist</w:t>
            </w:r>
          </w:p>
        </w:tc>
        <w:tc>
          <w:tcPr/>
          <w:p>
            <w:pPr>
              <w:pStyle w:val="Compact"/>
              <w:jc w:val="left"/>
            </w:pPr>
            <w:r>
              <w:t xml:space="preserve">Open (deck)</w:t>
            </w:r>
          </w:p>
        </w:tc>
      </w:tr>
      <w:tr>
        <w:tc>
          <w:tcPr/>
          <w:p>
            <w:pPr>
              <w:pStyle w:val="Compact"/>
              <w:jc w:val="left"/>
            </w:pPr>
            <w:r>
              <w:t xml:space="preserve">3</w:t>
            </w:r>
          </w:p>
        </w:tc>
        <w:tc>
          <w:tcPr/>
          <w:p>
            <w:pPr>
              <w:pStyle w:val="Compact"/>
              <w:jc w:val="left"/>
            </w:pPr>
            <w:r>
              <w:t xml:space="preserve">ESOP pool 5% vs course example 10–15%</w:t>
            </w:r>
          </w:p>
        </w:tc>
        <w:tc>
          <w:tcPr/>
          <w:p>
            <w:pPr>
              <w:pStyle w:val="Compact"/>
              <w:jc w:val="left"/>
            </w:pPr>
            <w:r>
              <w:t xml:space="preserve">Kept at 5% to limit dilution in a small round; top-up planned at tranche 2 (M4.1, M4.3)</w:t>
            </w:r>
          </w:p>
        </w:tc>
        <w:tc>
          <w:tcPr/>
          <w:p>
            <w:pPr>
              <w:pStyle w:val="Compact"/>
              <w:jc w:val="left"/>
            </w:pPr>
            <w:r>
              <w:t xml:space="preserve">Resolved</w:t>
            </w:r>
          </w:p>
        </w:tc>
      </w:tr>
      <w:tr>
        <w:tc>
          <w:tcPr/>
          <w:p>
            <w:pPr>
              <w:pStyle w:val="Compact"/>
              <w:jc w:val="left"/>
            </w:pPr>
            <w:r>
              <w:t xml:space="preserve">4</w:t>
            </w:r>
          </w:p>
        </w:tc>
        <w:tc>
          <w:tcPr/>
          <w:p>
            <w:pPr>
              <w:pStyle w:val="Compact"/>
              <w:jc w:val="left"/>
            </w:pPr>
            <w:r>
              <w:t xml:space="preserve">Milestones listed M25 before M23</w:t>
            </w:r>
          </w:p>
        </w:tc>
        <w:tc>
          <w:tcPr/>
          <w:p>
            <w:pPr>
              <w:pStyle w:val="Compact"/>
              <w:jc w:val="left"/>
            </w:pPr>
            <w:r>
              <w:t xml:space="preserve">Shown chronologically in M5.2 launch plan</w:t>
            </w:r>
          </w:p>
        </w:tc>
        <w:tc>
          <w:tcPr/>
          <w:p>
            <w:pPr>
              <w:pStyle w:val="Compact"/>
              <w:jc w:val="left"/>
            </w:pPr>
            <w:r>
              <w:t xml:space="preserve">Resolved here</w:t>
            </w:r>
          </w:p>
        </w:tc>
      </w:tr>
      <w:tr>
        <w:tc>
          <w:tcPr/>
          <w:p>
            <w:pPr>
              <w:pStyle w:val="Compact"/>
              <w:jc w:val="left"/>
            </w:pPr>
            <w:r>
              <w:t xml:space="preserve">5</w:t>
            </w:r>
          </w:p>
        </w:tc>
        <w:tc>
          <w:tcPr/>
          <w:p>
            <w:pPr>
              <w:pStyle w:val="Compact"/>
              <w:jc w:val="left"/>
            </w:pPr>
            <w:r>
              <w:t xml:space="preserve">Semester pilot (2026) vs funded study at M6 (Dec 2027)</w:t>
            </w:r>
          </w:p>
        </w:tc>
        <w:tc>
          <w:tcPr/>
          <w:p>
            <w:pPr>
              <w:pStyle w:val="Compact"/>
              <w:jc w:val="left"/>
            </w:pPr>
            <w:r>
              <w:t xml:space="preserve">Pilot is n = 5 and indicative only; the funded study keeps the kill / continue decision (M2.2, M5.2)</w:t>
            </w:r>
          </w:p>
        </w:tc>
        <w:tc>
          <w:tcPr/>
          <w:p>
            <w:pPr>
              <w:pStyle w:val="Compact"/>
              <w:jc w:val="left"/>
            </w:pPr>
            <w:r>
              <w:t xml:space="preserve">Resolved</w:t>
            </w:r>
          </w:p>
        </w:tc>
      </w:tr>
      <w:tr>
        <w:tc>
          <w:tcPr/>
          <w:p>
            <w:pPr>
              <w:pStyle w:val="Compact"/>
              <w:jc w:val="left"/>
            </w:pPr>
            <w:r>
              <w:t xml:space="preserve">6</w:t>
            </w:r>
          </w:p>
        </w:tc>
        <w:tc>
          <w:tcPr/>
          <w:p>
            <w:pPr>
              <w:pStyle w:val="Compact"/>
              <w:jc w:val="left"/>
            </w:pPr>
            <w:r>
              <w:t xml:space="preserve">Campaign CAC ₹167 vs model CAC ₹1,079</w:t>
            </w:r>
          </w:p>
        </w:tc>
        <w:tc>
          <w:tcPr/>
          <w:p>
            <w:pPr>
              <w:pStyle w:val="Compact"/>
              <w:jc w:val="left"/>
            </w:pPr>
            <w:r>
              <w:t xml:space="preserve">Campaign counts refundable deposits, not sales; model CAC unchanged (M4.2)</w:t>
            </w:r>
          </w:p>
        </w:tc>
        <w:tc>
          <w:tcPr/>
          <w:p>
            <w:pPr>
              <w:pStyle w:val="Compact"/>
              <w:jc w:val="left"/>
            </w:pPr>
            <w:r>
              <w:t xml:space="preserve">Resolved</w:t>
            </w:r>
          </w:p>
        </w:tc>
      </w:tr>
      <w:tr>
        <w:tc>
          <w:tcPr/>
          <w:p>
            <w:pPr>
              <w:pStyle w:val="Compact"/>
              <w:jc w:val="left"/>
            </w:pPr>
            <w:r>
              <w:t xml:space="preserve">7</w:t>
            </w:r>
          </w:p>
        </w:tc>
        <w:tc>
          <w:tcPr/>
          <w:p>
            <w:pPr>
              <w:pStyle w:val="Compact"/>
              <w:jc w:val="left"/>
            </w:pPr>
            <w:r>
              <w:t xml:space="preserve">Bad-growth scenario not a workbook toggle</w:t>
            </w:r>
          </w:p>
        </w:tc>
        <w:tc>
          <w:tcPr/>
          <w:p>
            <w:pPr>
              <w:pStyle w:val="Compact"/>
              <w:jc w:val="left"/>
            </w:pPr>
            <w:r>
              <w:t xml:space="preserve">Computed in M3.2 from the Price Matrix</w:t>
            </w:r>
          </w:p>
        </w:tc>
        <w:tc>
          <w:tcPr/>
          <w:p>
            <w:pPr>
              <w:pStyle w:val="Compact"/>
              <w:jc w:val="left"/>
            </w:pPr>
            <w:r>
              <w:t xml:space="preserve">Resolved here</w:t>
            </w:r>
          </w:p>
        </w:tc>
      </w:tr>
    </w:tbl>
    <w:bookmarkEnd w:id="128"/>
    <w:bookmarkEnd w:id="129"/>
    <w:bookmarkStart w:id="132" w:name="FIN"/>
    <w:bookmarkStart w:id="130" w:name="final-completeness-checklist"/>
    <w:p>
      <w:pPr>
        <w:pStyle w:val="Heading1"/>
      </w:pPr>
      <w:r>
        <w:t xml:space="preserve">Final completeness checklist</w:t>
      </w:r>
    </w:p>
    <w:tbl>
      <w:tblPr>
        <w:tblStyle w:val="Table"/>
        <w:tblW w:type="pct" w:w="5000"/>
        <w:tblLook w:firstRow="1" w:lastRow="0" w:firstColumn="0" w:lastColumn="0" w:noHBand="0" w:noVBand="0" w:val="0020"/>
        <w:jc w:val="start"/>
      </w:tblPr>
      <w:tblGrid>
        <w:gridCol w:w="4356"/>
        <w:gridCol w:w="3564"/>
      </w:tblGrid>
      <w:tr>
        <w:trPr>
          <w:tblHeader w:val="true"/>
        </w:trPr>
        <w:tc>
          <w:tcPr/>
          <w:p>
            <w:pPr>
              <w:pStyle w:val="Compact"/>
              <w:jc w:val="left"/>
            </w:pPr>
            <w:r>
              <w:t xml:space="preserve">Check</w:t>
            </w:r>
          </w:p>
        </w:tc>
        <w:tc>
          <w:tcPr/>
          <w:p>
            <w:pPr>
              <w:pStyle w:val="Compact"/>
              <w:jc w:val="left"/>
            </w:pPr>
            <w:r>
              <w:t xml:space="preserve">Result</w:t>
            </w:r>
          </w:p>
        </w:tc>
      </w:tr>
      <w:tr>
        <w:tc>
          <w:tcPr/>
          <w:p>
            <w:pPr>
              <w:pStyle w:val="Compact"/>
              <w:jc w:val="left"/>
            </w:pPr>
            <w:r>
              <w:t xml:space="preserve">All 15 mandatory models present, labelled M1.1–M5.3, in module order</w:t>
            </w:r>
          </w:p>
        </w:tc>
        <w:tc>
          <w:tcPr/>
          <w:p>
            <w:pPr>
              <w:pStyle w:val="Compact"/>
              <w:jc w:val="left"/>
            </w:pPr>
            <w:r>
              <w:t xml:space="preserve">Yes</w:t>
            </w:r>
          </w:p>
        </w:tc>
      </w:tr>
      <w:tr>
        <w:tc>
          <w:tcPr/>
          <w:p>
            <w:pPr>
              <w:pStyle w:val="Compact"/>
              <w:jc w:val="left"/>
            </w:pPr>
            <w:r>
              <w:t xml:space="preserve">Each sheet has module, activity, title, date, evidence status and data note</w:t>
            </w:r>
          </w:p>
        </w:tc>
        <w:tc>
          <w:tcPr/>
          <w:p>
            <w:pPr>
              <w:pStyle w:val="Compact"/>
              <w:jc w:val="left"/>
            </w:pPr>
            <w:r>
              <w:t xml:space="preserve">Yes</w:t>
            </w:r>
          </w:p>
        </w:tc>
      </w:tr>
      <w:tr>
        <w:tc>
          <w:tcPr/>
          <w:p>
            <w:pPr>
              <w:pStyle w:val="Compact"/>
              <w:jc w:val="left"/>
            </w:pPr>
            <w:r>
              <w:t xml:space="preserve">Figures cross-checked against the financial model</w:t>
            </w:r>
          </w:p>
        </w:tc>
        <w:tc>
          <w:tcPr/>
          <w:p>
            <w:pPr>
              <w:pStyle w:val="Compact"/>
              <w:jc w:val="left"/>
            </w:pPr>
            <w:r>
              <w:t xml:space="preserve">Yes — market, pricing, unit economics, forecast and cap table generated from the model</w:t>
            </w:r>
          </w:p>
        </w:tc>
      </w:tr>
      <w:tr>
        <w:tc>
          <w:tcPr/>
          <w:p>
            <w:pPr>
              <w:pStyle w:val="Compact"/>
              <w:jc w:val="left"/>
            </w:pPr>
            <w:r>
              <w:t xml:space="preserve">Funding ask, valuation, ownership and ESOP</w:t>
            </w:r>
          </w:p>
        </w:tc>
        <w:tc>
          <w:tcPr/>
          <w:p>
            <w:pPr>
              <w:pStyle w:val="Compact"/>
              <w:jc w:val="left"/>
            </w:pPr>
            <w:r>
              <w:t xml:space="preserve">₹10,51,171; ₹75 L pre-money (proposed negotiation target); post ₹85,51,171; investor 12.29%; ESOP 5%; founders 82.71%</w:t>
            </w:r>
          </w:p>
        </w:tc>
      </w:tr>
      <w:tr>
        <w:tc>
          <w:tcPr/>
          <w:p>
            <w:pPr>
              <w:pStyle w:val="Compact"/>
              <w:jc w:val="left"/>
            </w:pPr>
            <w:r>
              <w:t xml:space="preserve">Grant shown as secured anywhere?</w:t>
            </w:r>
          </w:p>
        </w:tc>
        <w:tc>
          <w:tcPr/>
          <w:p>
            <w:pPr>
              <w:pStyle w:val="Compact"/>
              <w:jc w:val="left"/>
            </w:pPr>
            <w:r>
              <w:t xml:space="preserve">No — Startup India Seed Fund applied for, not secured</w:t>
            </w:r>
          </w:p>
        </w:tc>
      </w:tr>
      <w:tr>
        <w:tc>
          <w:tcPr/>
          <w:p>
            <w:pPr>
              <w:pStyle w:val="Compact"/>
              <w:jc w:val="left"/>
            </w:pPr>
            <w:r>
              <w:t xml:space="preserve">Patent or clinical claims stated as fact?</w:t>
            </w:r>
          </w:p>
        </w:tc>
        <w:tc>
          <w:tcPr/>
          <w:p>
            <w:pPr>
              <w:pStyle w:val="Compact"/>
              <w:jc w:val="left"/>
            </w:pPr>
            <w:r>
              <w:t xml:space="preserve">No — provisional filing planned; ICMR results pending; no diagnostic claims</w:t>
            </w:r>
          </w:p>
        </w:tc>
      </w:tr>
      <w:tr>
        <w:tc>
          <w:tcPr/>
          <w:p>
            <w:pPr>
              <w:pStyle w:val="Compact"/>
              <w:jc w:val="left"/>
            </w:pPr>
            <w:r>
              <w:t xml:space="preserve">Simulated data labelled</w:t>
            </w:r>
          </w:p>
        </w:tc>
        <w:tc>
          <w:tcPr/>
          <w:p>
            <w:pPr>
              <w:pStyle w:val="Compact"/>
              <w:jc w:val="left"/>
            </w:pPr>
            <w:r>
              <w:t xml:space="preserve">Yes — status line and data note on M1.1, M2.2, M2.3, M4.1, M4.2, M5.2</w:t>
            </w:r>
          </w:p>
        </w:tc>
      </w:tr>
      <w:tr>
        <w:tc>
          <w:tcPr/>
          <w:p>
            <w:pPr>
              <w:pStyle w:val="Compact"/>
              <w:jc w:val="left"/>
            </w:pPr>
            <w:r>
              <w:t xml:space="preserve">Placeholders or blank fields left</w:t>
            </w:r>
          </w:p>
        </w:tc>
        <w:tc>
          <w:tcPr/>
          <w:p>
            <w:pPr>
              <w:pStyle w:val="Compact"/>
              <w:jc w:val="left"/>
            </w:pPr>
            <w:r>
              <w:t xml:space="preserve">None, except the real-evidence checklist boxes to tick on collection</w:t>
            </w:r>
          </w:p>
        </w:tc>
      </w:tr>
    </w:tbl>
    <w:bookmarkEnd w:id="130"/>
    <w:bookmarkStart w:id="131" w:name="submission-checklist-physical-copy"/>
    <w:p>
      <w:pPr>
        <w:pStyle w:val="Heading1"/>
      </w:pPr>
      <w:r>
        <w:t xml:space="preserve">Submission checklist (physical copy)</w:t>
      </w:r>
    </w:p>
    <w:p>
      <w:pPr>
        <w:numPr>
          <w:ilvl w:val="0"/>
          <w:numId w:val="1011"/>
        </w:numPr>
        <w:pStyle w:val="Compact"/>
      </w:pPr>
      <w:r>
        <w:t xml:space="preserve">Print single-sided on A4, colour if possible (status labels are colour-coded but also written in words).</w:t>
      </w:r>
    </w:p>
    <w:p>
      <w:pPr>
        <w:numPr>
          <w:ilvl w:val="0"/>
          <w:numId w:val="1011"/>
        </w:numPr>
        <w:pStyle w:val="Compact"/>
      </w:pPr>
      <w:r>
        <w:t xml:space="preserve">Fill every date field and sign/initial each sheet.</w:t>
      </w:r>
    </w:p>
    <w:p>
      <w:pPr>
        <w:numPr>
          <w:ilvl w:val="0"/>
          <w:numId w:val="1011"/>
        </w:numPr>
        <w:pStyle w:val="Compact"/>
      </w:pPr>
      <w:r>
        <w:t xml:space="preserve">Complete the pending items you have evidence for; leave the rest visibly marked pending.</w:t>
      </w:r>
    </w:p>
    <w:p>
      <w:pPr>
        <w:numPr>
          <w:ilvl w:val="0"/>
          <w:numId w:val="1011"/>
        </w:numPr>
        <w:pStyle w:val="Compact"/>
      </w:pPr>
      <w:r>
        <w:t xml:space="preserve">Attach evidence behind the matching sheet: interview notes, price-test responses, receipts/preorder proof, campaign screenshots, mock-interview notes.</w:t>
      </w:r>
    </w:p>
    <w:p>
      <w:pPr>
        <w:numPr>
          <w:ilvl w:val="0"/>
          <w:numId w:val="1011"/>
        </w:numPr>
        <w:pStyle w:val="Compact"/>
      </w:pPr>
      <w:r>
        <w:t xml:space="preserve">Order: cover → contents → M1.1 … M5.3 → references → evidence appendix → inconsistencies → this checklist.</w:t>
      </w:r>
    </w:p>
    <w:p>
      <w:pPr>
        <w:numPr>
          <w:ilvl w:val="0"/>
          <w:numId w:val="1011"/>
        </w:numPr>
        <w:pStyle w:val="Compact"/>
      </w:pPr>
      <w:r>
        <w:t xml:space="preserve">Bind with a clear cover; add tabs for Modules 1–5 so pages can be opened quickly in the viva.</w:t>
      </w:r>
    </w:p>
    <w:p>
      <w:pPr>
        <w:numPr>
          <w:ilvl w:val="0"/>
          <w:numId w:val="1011"/>
        </w:numPr>
        <w:pStyle w:val="Compact"/>
      </w:pPr>
      <w:r>
        <w:t xml:space="preserve">Bring the deck on a USB drive and the website link as backup.</w:t>
      </w:r>
    </w:p>
    <w:p>
      <w:pPr>
        <w:numPr>
          <w:ilvl w:val="0"/>
          <w:numId w:val="1011"/>
        </w:numPr>
        <w:pStyle w:val="Compact"/>
      </w:pPr>
      <w:r>
        <w:t xml:space="preserve">Before the viva, re-read M1.2 (TAM/SAM/SOM), M3.2 (runway, zero-cash date) and M4.3 (valuation arithmetic).</w:t>
      </w:r>
    </w:p>
    <w:bookmarkEnd w:id="131"/>
    <w:bookmarkEnd w:id="1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AVERRA Practical Portfolio</dc:title>
  <dc:creator>Pranshu Kumar, Pawan Shinde</dc:creator>
  <cp:keywords/>
  <dcterms:created xsi:type="dcterms:W3CDTF">2026-10-20T11:15:38Z</dcterms:created>
  <dcterms:modified xsi:type="dcterms:W3CDTF">2026-10-20T11:15:38Z</dcterms:modified>
</cp:coreProperties>
</file>

<file path=docProps/custom.xml><?xml version="1.0" encoding="utf-8"?>
<Properties xmlns="http://schemas.openxmlformats.org/officeDocument/2006/custom-properties" xmlns:vt="http://schemas.openxmlformats.org/officeDocument/2006/docPropsVTypes"/>
</file>