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140"/>
      </w:pPr>
      <w:r>
        <w:rPr>
          <w:rFonts w:ascii="Arial" w:hAnsi="Arial"/>
          <w:b/>
          <w:color w:val="157F78"/>
          <w:sz w:val="18"/>
        </w:rPr>
        <w:t>AIM FINAL CAPSTONE</w:t>
      </w:r>
    </w:p>
    <w:p>
      <w:pPr>
        <w:spacing w:after="200"/>
      </w:pPr>
      <w:r>
        <w:rPr>
          <w:rFonts w:ascii="Arial" w:hAnsi="Arial"/>
          <w:b/>
          <w:color w:val="17324D"/>
          <w:sz w:val="56"/>
        </w:rPr>
        <w:t>Predicting Student Dropout Risk</w:t>
      </w:r>
    </w:p>
    <w:p>
      <w:pPr>
        <w:spacing w:after="100"/>
      </w:pPr>
      <w:r>
        <w:rPr>
          <w:rFonts w:ascii="Arial" w:hAnsi="Arial"/>
          <w:i/>
          <w:color w:val="66788A"/>
          <w:sz w:val="26"/>
        </w:rPr>
        <w:t>An end-to-end, reproducible machine learning project for early student support</w:t>
      </w:r>
    </w:p>
    <w:p>
      <w:pPr>
        <w:spacing w:after="640"/>
      </w:pP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EAF4F3"/>
            <w:tcMar>
              <w:top w:w="130" w:type="dxa"/>
              <w:start w:w="120" w:type="dxa"/>
              <w:bottom w:w="130" w:type="dxa"/>
              <w:end w:w="120" w:type="dxa"/>
            </w:tcMar>
          </w:tcPr>
          <w:p>
            <w:pPr>
              <w:spacing w:after="40"/>
              <w:jc w:val="center"/>
            </w:pPr>
            <w:r/>
            <w:r>
              <w:rPr>
                <w:rFonts w:ascii="Arial" w:hAnsi="Arial"/>
                <w:b/>
                <w:color w:val="157F78"/>
                <w:sz w:val="34"/>
              </w:rPr>
              <w:t>4,424</w:t>
            </w:r>
          </w:p>
          <w:p>
            <w:pPr>
              <w:spacing w:after="0"/>
              <w:jc w:val="center"/>
            </w:pPr>
            <w:r>
              <w:rPr>
                <w:rFonts w:ascii="Arial" w:hAnsi="Arial"/>
                <w:color w:val="66788A"/>
                <w:sz w:val="15"/>
              </w:rPr>
              <w:t>STUDENTS</w:t>
            </w:r>
          </w:p>
        </w:tc>
        <w:tc>
          <w:tcPr>
            <w:tcW w:type="dxa" w:w="2541"/>
            <w:shd w:fill="EEF3F7"/>
            <w:tcMar>
              <w:top w:w="130" w:type="dxa"/>
              <w:start w:w="120" w:type="dxa"/>
              <w:bottom w:w="130" w:type="dxa"/>
              <w:end w:w="120" w:type="dxa"/>
            </w:tcMar>
          </w:tcPr>
          <w:p>
            <w:pPr>
              <w:spacing w:after="40"/>
              <w:jc w:val="center"/>
            </w:pPr>
            <w:r/>
            <w:r>
              <w:rPr>
                <w:rFonts w:ascii="Arial" w:hAnsi="Arial"/>
                <w:b/>
                <w:color w:val="157F78"/>
                <w:sz w:val="34"/>
              </w:rPr>
              <w:t>0.23</w:t>
            </w:r>
          </w:p>
          <w:p>
            <w:pPr>
              <w:spacing w:after="0"/>
              <w:jc w:val="center"/>
            </w:pPr>
            <w:r>
              <w:rPr>
                <w:rFonts w:ascii="Arial" w:hAnsi="Arial"/>
                <w:color w:val="66788A"/>
                <w:sz w:val="15"/>
              </w:rPr>
              <w:t>ALERT THRESHOLD</w:t>
            </w:r>
          </w:p>
        </w:tc>
        <w:tc>
          <w:tcPr>
            <w:tcW w:type="dxa" w:w="2541"/>
            <w:shd w:fill="EAF4F3"/>
            <w:tcMar>
              <w:top w:w="130" w:type="dxa"/>
              <w:start w:w="120" w:type="dxa"/>
              <w:bottom w:w="130" w:type="dxa"/>
              <w:end w:w="120" w:type="dxa"/>
            </w:tcMar>
          </w:tcPr>
          <w:p>
            <w:pPr>
              <w:spacing w:after="40"/>
              <w:jc w:val="center"/>
            </w:pPr>
            <w:r/>
            <w:r>
              <w:rPr>
                <w:rFonts w:ascii="Arial" w:hAnsi="Arial"/>
                <w:b/>
                <w:color w:val="157F78"/>
                <w:sz w:val="34"/>
              </w:rPr>
              <w:t>83.8%</w:t>
            </w:r>
          </w:p>
          <w:p>
            <w:pPr>
              <w:spacing w:after="0"/>
              <w:jc w:val="center"/>
            </w:pPr>
            <w:r>
              <w:rPr>
                <w:rFonts w:ascii="Arial" w:hAnsi="Arial"/>
                <w:color w:val="66788A"/>
                <w:sz w:val="15"/>
              </w:rPr>
              <w:t>DROPOUT RECALL</w:t>
            </w:r>
          </w:p>
        </w:tc>
        <w:tc>
          <w:tcPr>
            <w:tcW w:type="dxa" w:w="2541"/>
            <w:shd w:fill="EEF3F7"/>
            <w:tcMar>
              <w:top w:w="130" w:type="dxa"/>
              <w:start w:w="120" w:type="dxa"/>
              <w:bottom w:w="130" w:type="dxa"/>
              <w:end w:w="120" w:type="dxa"/>
            </w:tcMar>
          </w:tcPr>
          <w:p>
            <w:pPr>
              <w:spacing w:after="40"/>
              <w:jc w:val="center"/>
            </w:pPr>
            <w:r/>
            <w:r>
              <w:rPr>
                <w:rFonts w:ascii="Arial" w:hAnsi="Arial"/>
                <w:b/>
                <w:color w:val="157F78"/>
                <w:sz w:val="34"/>
              </w:rPr>
              <w:t>72.9%</w:t>
            </w:r>
          </w:p>
          <w:p>
            <w:pPr>
              <w:spacing w:after="0"/>
              <w:jc w:val="center"/>
            </w:pPr>
            <w:r>
              <w:rPr>
                <w:rFonts w:ascii="Arial" w:hAnsi="Arial"/>
                <w:color w:val="66788A"/>
                <w:sz w:val="15"/>
              </w:rPr>
              <w:t>TOP-30% CAPTURE</w:t>
            </w:r>
          </w:p>
        </w:tc>
      </w:tr>
    </w:tbl>
    <w:p>
      <w:pPr>
        <w:spacing w:after="20"/>
      </w:pPr>
    </w:p>
    <w:p>
      <w:pPr>
        <w:spacing w:after="840"/>
      </w:pPr>
    </w:p>
    <w:tbl>
      <w:tblPr>
        <w:tblW w:type="auto" w:w="0"/>
        <w:jc w:val="center"/>
        <w:tblLayout w:type="fixed"/>
        <w:tblLook w:firstColumn="1" w:firstRow="1" w:lastColumn="0" w:lastRow="0" w:noHBand="0" w:noVBand="1" w:val="04A0"/>
      </w:tblPr>
      <w:tblGrid>
        <w:gridCol w:w="10166"/>
      </w:tblGrid>
      <w:tr>
        <w:tc>
          <w:tcPr>
            <w:tcW w:type="dxa" w:w="9850"/>
            <w:shd w:fill="EAF4F3"/>
            <w:tcBorders>
              <w:left w:val="single" w:sz="24" w:space="0" w:color="157F78"/>
            </w:tcBorders>
            <w:tcMar>
              <w:top w:w="120" w:type="dxa"/>
              <w:start w:w="170" w:type="dxa"/>
              <w:bottom w:w="120" w:type="dxa"/>
              <w:end w:w="150" w:type="dxa"/>
            </w:tcMar>
          </w:tcPr>
          <w:p>
            <w:pPr>
              <w:spacing w:after="40"/>
            </w:pPr>
            <w:r/>
            <w:r>
              <w:rPr>
                <w:rFonts w:ascii="Arial" w:hAnsi="Arial"/>
                <w:b/>
                <w:color w:val="157F78"/>
                <w:sz w:val="20"/>
              </w:rPr>
              <w:t>Decision recommendation</w:t>
            </w:r>
          </w:p>
          <w:p>
            <w:pPr>
              <w:spacing w:after="0" w:line="252" w:lineRule="auto"/>
            </w:pPr>
            <w:r>
              <w:rPr>
                <w:rFonts w:ascii="Arial" w:hAnsi="Arial"/>
                <w:color w:val="111111"/>
                <w:sz w:val="18"/>
              </w:rPr>
              <w:t>Use the model only in a controlled, non-punitive support pilot with human review, correction and appeal routes, calibration checks, and subgroup monitoring. Do not use it for automated adverse decisions.</w:t>
            </w:r>
          </w:p>
        </w:tc>
      </w:tr>
    </w:tbl>
    <w:p>
      <w:pPr>
        <w:spacing w:after="0"/>
      </w:pPr>
    </w:p>
    <w:p>
      <w:pPr>
        <w:pStyle w:val="SmallNote"/>
        <w:jc w:val="center"/>
      </w:pPr>
      <w:r>
        <w:t>Prepared for AIM  |  September 2026</w:t>
      </w:r>
    </w:p>
    <w:p>
      <w:r>
        <w:br w:type="page"/>
      </w:r>
    </w:p>
    <w:p>
      <w:pPr>
        <w:pStyle w:val="Heading1"/>
      </w:pPr>
      <w:r>
        <w:t>Executive summary</w:t>
      </w:r>
    </w:p>
    <w:p>
      <w:r>
        <w:t>This capstone develops a reproducible early-warning model that ranks university students by the probability of dropping out after first-semester results become available. The intended decision is narrowly defined: help a student-support team prioritize optional outreach when support capacity is limited. The prediction is not a diagnosis, a causal explanation, or a basis for exclusion.</w:t>
      </w:r>
    </w:p>
    <w:p>
      <w:r>
        <w:t>The project uses the public UCI Predict Students' Dropout and Academic Success dataset, containing 4,424 records from one Portuguese higher-education institution. The target has three outcomes: Graduate, Dropout, and Enrolled. Six second-semester academic fields were excluded from the end-of-first-semester prediction scope to reduce temporal leakage. Demographic fields were excluded from model inputs and retained for auditing.</w:t>
      </w:r>
    </w:p>
    <w:p>
      <w:r>
        <w:t>A Random Forest achieved the highest dropout-focused cross-validated F2 score. Its dropout-alert threshold of 0.23 was selected from out-of-fold training predictions among thresholds that met the predefined recall and precision constraints. On the locked 885-record test set, the alert achieved 83.8% dropout recall and 62.6% dropout precision. Separately, the highest-risk 30% of students captured 207 of 284 held-out dropouts, or 72.9%, at 77.8% precision.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096"/>
            <w:vAlign w:val="center"/>
            <w:tcMar>
              <w:top w:w="90" w:type="dxa"/>
              <w:start w:w="110" w:type="dxa"/>
              <w:bottom w:w="90" w:type="dxa"/>
              <w:end w:w="110" w:type="dxa"/>
            </w:tcMar>
            <w:shd w:fill="17324D"/>
          </w:tcPr>
          <w:p>
            <w:pPr>
              <w:spacing w:after="0"/>
            </w:pPr>
            <w:r/>
            <w:r>
              <w:rPr>
                <w:rFonts w:ascii="Arial" w:hAnsi="Arial"/>
                <w:b/>
                <w:color w:val="FFFFFF"/>
                <w:sz w:val="17"/>
              </w:rPr>
              <w:t>Success measure</w:t>
            </w:r>
          </w:p>
        </w:tc>
        <w:tc>
          <w:tcPr>
            <w:tcW w:type="dxa" w:w="2232"/>
            <w:vAlign w:val="center"/>
            <w:tcMar>
              <w:top w:w="90" w:type="dxa"/>
              <w:start w:w="110" w:type="dxa"/>
              <w:bottom w:w="90" w:type="dxa"/>
              <w:end w:w="110" w:type="dxa"/>
            </w:tcMar>
            <w:shd w:fill="17324D"/>
          </w:tcPr>
          <w:p>
            <w:pPr>
              <w:spacing w:after="0"/>
            </w:pPr>
            <w:r/>
            <w:r>
              <w:rPr>
                <w:rFonts w:ascii="Arial" w:hAnsi="Arial"/>
                <w:b/>
                <w:color w:val="FFFFFF"/>
                <w:sz w:val="17"/>
              </w:rPr>
              <w:t>Predefined target</w:t>
            </w:r>
          </w:p>
        </w:tc>
        <w:tc>
          <w:tcPr>
            <w:tcW w:type="dxa" w:w="2232"/>
            <w:vAlign w:val="center"/>
            <w:tcMar>
              <w:top w:w="90" w:type="dxa"/>
              <w:start w:w="110" w:type="dxa"/>
              <w:bottom w:w="90" w:type="dxa"/>
              <w:end w:w="110" w:type="dxa"/>
            </w:tcMar>
            <w:shd w:fill="17324D"/>
          </w:tcPr>
          <w:p>
            <w:pPr>
              <w:spacing w:after="0"/>
            </w:pPr>
            <w:r/>
            <w:r>
              <w:rPr>
                <w:rFonts w:ascii="Arial" w:hAnsi="Arial"/>
                <w:b/>
                <w:color w:val="FFFFFF"/>
                <w:sz w:val="17"/>
              </w:rPr>
              <w:t>Held-out result</w:t>
            </w:r>
          </w:p>
        </w:tc>
        <w:tc>
          <w:tcPr>
            <w:tcW w:type="dxa" w:w="1224"/>
            <w:vAlign w:val="center"/>
            <w:tcMar>
              <w:top w:w="90" w:type="dxa"/>
              <w:start w:w="110" w:type="dxa"/>
              <w:bottom w:w="90" w:type="dxa"/>
              <w:end w:w="110" w:type="dxa"/>
            </w:tcMar>
            <w:shd w:fill="17324D"/>
          </w:tcPr>
          <w:p>
            <w:pPr>
              <w:spacing w:after="0"/>
            </w:pPr>
            <w:r/>
            <w:r>
              <w:rPr>
                <w:rFonts w:ascii="Arial" w:hAnsi="Arial"/>
                <w:b/>
                <w:color w:val="FFFFFF"/>
                <w:sz w:val="17"/>
              </w:rPr>
              <w:t>Status</w:t>
            </w:r>
          </w:p>
        </w:tc>
      </w:tr>
      <w:tr>
        <w:tc>
          <w:tcPr>
            <w:tcW w:type="dxa" w:w="3096"/>
            <w:vAlign w:val="center"/>
            <w:tcMar>
              <w:top w:w="90" w:type="dxa"/>
              <w:start w:w="110" w:type="dxa"/>
              <w:bottom w:w="90" w:type="dxa"/>
              <w:end w:w="110" w:type="dxa"/>
            </w:tcMar>
          </w:tcPr>
          <w:p>
            <w:pPr>
              <w:spacing w:after="0"/>
            </w:pPr>
            <w:r/>
            <w:r>
              <w:rPr>
                <w:rFonts w:ascii="Arial" w:hAnsi="Arial"/>
                <w:b w:val="0"/>
                <w:color w:val="111111"/>
                <w:sz w:val="16"/>
              </w:rPr>
              <w:t>Dropout recall</w:t>
            </w:r>
          </w:p>
        </w:tc>
        <w:tc>
          <w:tcPr>
            <w:tcW w:type="dxa" w:w="2232"/>
            <w:vAlign w:val="center"/>
            <w:tcMar>
              <w:top w:w="90" w:type="dxa"/>
              <w:start w:w="110" w:type="dxa"/>
              <w:bottom w:w="90" w:type="dxa"/>
              <w:end w:w="110" w:type="dxa"/>
            </w:tcMar>
          </w:tcPr>
          <w:p>
            <w:pPr>
              <w:spacing w:after="0"/>
            </w:pPr>
            <w:r/>
            <w:r>
              <w:rPr>
                <w:rFonts w:ascii="Arial" w:hAnsi="Arial"/>
                <w:b w:val="0"/>
                <w:color w:val="111111"/>
                <w:sz w:val="16"/>
              </w:rPr>
              <w:t>At least 75%</w:t>
            </w:r>
          </w:p>
        </w:tc>
        <w:tc>
          <w:tcPr>
            <w:tcW w:type="dxa" w:w="2232"/>
            <w:vAlign w:val="center"/>
            <w:tcMar>
              <w:top w:w="90" w:type="dxa"/>
              <w:start w:w="110" w:type="dxa"/>
              <w:bottom w:w="90" w:type="dxa"/>
              <w:end w:w="110" w:type="dxa"/>
            </w:tcMar>
          </w:tcPr>
          <w:p>
            <w:pPr>
              <w:spacing w:after="0"/>
            </w:pPr>
            <w:r/>
            <w:r>
              <w:rPr>
                <w:rFonts w:ascii="Arial" w:hAnsi="Arial"/>
                <w:b w:val="0"/>
                <w:color w:val="111111"/>
                <w:sz w:val="16"/>
              </w:rPr>
              <w:t>83.8%</w:t>
            </w:r>
          </w:p>
        </w:tc>
        <w:tc>
          <w:tcPr>
            <w:tcW w:type="dxa" w:w="1224"/>
            <w:vAlign w:val="center"/>
            <w:tcMar>
              <w:top w:w="90" w:type="dxa"/>
              <w:start w:w="110" w:type="dxa"/>
              <w:bottom w:w="90" w:type="dxa"/>
              <w:end w:w="110" w:type="dxa"/>
            </w:tcMar>
          </w:tcPr>
          <w:p>
            <w:pPr>
              <w:spacing w:after="0"/>
            </w:pPr>
            <w:r/>
            <w:r>
              <w:rPr>
                <w:rFonts w:ascii="Arial" w:hAnsi="Arial"/>
                <w:b w:val="0"/>
                <w:color w:val="111111"/>
                <w:sz w:val="16"/>
              </w:rPr>
              <w:t>Met</w:t>
            </w:r>
          </w:p>
        </w:tc>
      </w:tr>
      <w:tr>
        <w:tc>
          <w:tcPr>
            <w:tcW w:type="dxa" w:w="3096"/>
            <w:vAlign w:val="center"/>
            <w:tcMar>
              <w:top w:w="90" w:type="dxa"/>
              <w:start w:w="110" w:type="dxa"/>
              <w:bottom w:w="90" w:type="dxa"/>
              <w:end w:w="110" w:type="dxa"/>
            </w:tcMar>
            <w:shd w:fill="EEF3F7"/>
          </w:tcPr>
          <w:p>
            <w:pPr>
              <w:spacing w:after="0"/>
            </w:pPr>
            <w:r/>
            <w:r>
              <w:rPr>
                <w:rFonts w:ascii="Arial" w:hAnsi="Arial"/>
                <w:b w:val="0"/>
                <w:color w:val="111111"/>
                <w:sz w:val="16"/>
              </w:rPr>
              <w:t>Dropout precision</w:t>
            </w:r>
          </w:p>
        </w:tc>
        <w:tc>
          <w:tcPr>
            <w:tcW w:type="dxa" w:w="2232"/>
            <w:vAlign w:val="center"/>
            <w:tcMar>
              <w:top w:w="90" w:type="dxa"/>
              <w:start w:w="110" w:type="dxa"/>
              <w:bottom w:w="90" w:type="dxa"/>
              <w:end w:w="110" w:type="dxa"/>
            </w:tcMar>
            <w:shd w:fill="EEF3F7"/>
          </w:tcPr>
          <w:p>
            <w:pPr>
              <w:spacing w:after="0"/>
            </w:pPr>
            <w:r/>
            <w:r>
              <w:rPr>
                <w:rFonts w:ascii="Arial" w:hAnsi="Arial"/>
                <w:b w:val="0"/>
                <w:color w:val="111111"/>
                <w:sz w:val="16"/>
              </w:rPr>
              <w:t>At least 50%</w:t>
            </w:r>
          </w:p>
        </w:tc>
        <w:tc>
          <w:tcPr>
            <w:tcW w:type="dxa" w:w="2232"/>
            <w:vAlign w:val="center"/>
            <w:tcMar>
              <w:top w:w="90" w:type="dxa"/>
              <w:start w:w="110" w:type="dxa"/>
              <w:bottom w:w="90" w:type="dxa"/>
              <w:end w:w="110" w:type="dxa"/>
            </w:tcMar>
            <w:shd w:fill="EEF3F7"/>
          </w:tcPr>
          <w:p>
            <w:pPr>
              <w:spacing w:after="0"/>
            </w:pPr>
            <w:r/>
            <w:r>
              <w:rPr>
                <w:rFonts w:ascii="Arial" w:hAnsi="Arial"/>
                <w:b w:val="0"/>
                <w:color w:val="111111"/>
                <w:sz w:val="16"/>
              </w:rPr>
              <w:t>62.6%</w:t>
            </w:r>
          </w:p>
        </w:tc>
        <w:tc>
          <w:tcPr>
            <w:tcW w:type="dxa" w:w="1224"/>
            <w:vAlign w:val="center"/>
            <w:tcMar>
              <w:top w:w="90" w:type="dxa"/>
              <w:start w:w="110" w:type="dxa"/>
              <w:bottom w:w="90" w:type="dxa"/>
              <w:end w:w="110" w:type="dxa"/>
            </w:tcMar>
            <w:shd w:fill="EEF3F7"/>
          </w:tcPr>
          <w:p>
            <w:pPr>
              <w:spacing w:after="0"/>
            </w:pPr>
            <w:r/>
            <w:r>
              <w:rPr>
                <w:rFonts w:ascii="Arial" w:hAnsi="Arial"/>
                <w:b w:val="0"/>
                <w:color w:val="111111"/>
                <w:sz w:val="16"/>
              </w:rPr>
              <w:t>Met</w:t>
            </w:r>
          </w:p>
        </w:tc>
      </w:tr>
      <w:tr>
        <w:tc>
          <w:tcPr>
            <w:tcW w:type="dxa" w:w="3096"/>
            <w:vAlign w:val="center"/>
            <w:tcMar>
              <w:top w:w="90" w:type="dxa"/>
              <w:start w:w="110" w:type="dxa"/>
              <w:bottom w:w="90" w:type="dxa"/>
              <w:end w:w="110" w:type="dxa"/>
            </w:tcMar>
          </w:tcPr>
          <w:p>
            <w:pPr>
              <w:spacing w:after="0"/>
            </w:pPr>
            <w:r/>
            <w:r>
              <w:rPr>
                <w:rFonts w:ascii="Arial" w:hAnsi="Arial"/>
                <w:b w:val="0"/>
                <w:color w:val="111111"/>
                <w:sz w:val="16"/>
              </w:rPr>
              <w:t>Top-30% dropout capture</w:t>
            </w:r>
          </w:p>
        </w:tc>
        <w:tc>
          <w:tcPr>
            <w:tcW w:type="dxa" w:w="2232"/>
            <w:vAlign w:val="center"/>
            <w:tcMar>
              <w:top w:w="90" w:type="dxa"/>
              <w:start w:w="110" w:type="dxa"/>
              <w:bottom w:w="90" w:type="dxa"/>
              <w:end w:w="110" w:type="dxa"/>
            </w:tcMar>
          </w:tcPr>
          <w:p>
            <w:pPr>
              <w:spacing w:after="0"/>
            </w:pPr>
            <w:r/>
            <w:r>
              <w:rPr>
                <w:rFonts w:ascii="Arial" w:hAnsi="Arial"/>
                <w:b w:val="0"/>
                <w:color w:val="111111"/>
                <w:sz w:val="16"/>
              </w:rPr>
              <w:t>At least 60%</w:t>
            </w:r>
          </w:p>
        </w:tc>
        <w:tc>
          <w:tcPr>
            <w:tcW w:type="dxa" w:w="2232"/>
            <w:vAlign w:val="center"/>
            <w:tcMar>
              <w:top w:w="90" w:type="dxa"/>
              <w:start w:w="110" w:type="dxa"/>
              <w:bottom w:w="90" w:type="dxa"/>
              <w:end w:w="110" w:type="dxa"/>
            </w:tcMar>
          </w:tcPr>
          <w:p>
            <w:pPr>
              <w:spacing w:after="0"/>
            </w:pPr>
            <w:r/>
            <w:r>
              <w:rPr>
                <w:rFonts w:ascii="Arial" w:hAnsi="Arial"/>
                <w:b w:val="0"/>
                <w:color w:val="111111"/>
                <w:sz w:val="16"/>
              </w:rPr>
              <w:t>72.9%</w:t>
            </w:r>
          </w:p>
        </w:tc>
        <w:tc>
          <w:tcPr>
            <w:tcW w:type="dxa" w:w="1224"/>
            <w:vAlign w:val="center"/>
            <w:tcMar>
              <w:top w:w="90" w:type="dxa"/>
              <w:start w:w="110" w:type="dxa"/>
              <w:bottom w:w="90" w:type="dxa"/>
              <w:end w:w="110" w:type="dxa"/>
            </w:tcMar>
          </w:tcPr>
          <w:p>
            <w:pPr>
              <w:spacing w:after="0"/>
            </w:pPr>
            <w:r/>
            <w:r>
              <w:rPr>
                <w:rFonts w:ascii="Arial" w:hAnsi="Arial"/>
                <w:b w:val="0"/>
                <w:color w:val="111111"/>
                <w:sz w:val="16"/>
              </w:rPr>
              <w:t>Met</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850"/>
            <w:shd w:fill="EAF4F3"/>
            <w:tcBorders>
              <w:left w:val="single" w:sz="24" w:space="0" w:color="157F78"/>
            </w:tcBorders>
            <w:tcMar>
              <w:top w:w="120" w:type="dxa"/>
              <w:start w:w="170" w:type="dxa"/>
              <w:bottom w:w="120" w:type="dxa"/>
              <w:end w:w="150" w:type="dxa"/>
            </w:tcMar>
          </w:tcPr>
          <w:p>
            <w:pPr>
              <w:spacing w:after="40"/>
            </w:pPr>
            <w:r/>
            <w:r>
              <w:rPr>
                <w:rFonts w:ascii="Arial" w:hAnsi="Arial"/>
                <w:b/>
                <w:color w:val="157F78"/>
                <w:sz w:val="20"/>
              </w:rPr>
              <w:t>Why the 30% review scenario is used</w:t>
            </w:r>
          </w:p>
          <w:p>
            <w:pPr>
              <w:spacing w:after="0" w:line="252" w:lineRule="auto"/>
            </w:pPr>
            <w:r>
              <w:rPr>
                <w:rFonts w:ascii="Arial" w:hAnsi="Arial"/>
                <w:color w:val="111111"/>
                <w:sz w:val="18"/>
              </w:rPr>
              <w:t>Thirty percent is an illustrative workload scenario rather than a verified staffing limit. It is close to the source dataset's 32.1% dropout prevalence, provides a transparent comparison with random selection, and produces a list large enough to test ranking value. A real institution must replace it with documented outreach capacity before deployment.</w:t>
            </w:r>
          </w:p>
        </w:tc>
      </w:tr>
    </w:tbl>
    <w:p>
      <w:pPr>
        <w:spacing w:after="0"/>
      </w:pPr>
    </w:p>
    <w:p>
      <w:pPr>
        <w:pStyle w:val="Heading2"/>
      </w:pPr>
      <w:r>
        <w:t>Report map</w:t>
      </w:r>
    </w:p>
    <w:p>
      <w:pPr>
        <w:pStyle w:val="ListBullet"/>
        <w:spacing w:after="60"/>
        <w:ind w:left="317" w:hanging="173"/>
      </w:pPr>
      <w:r>
        <w:t>Problem framing and measurable success criteria</w:t>
      </w:r>
    </w:p>
    <w:p>
      <w:pPr>
        <w:pStyle w:val="ListBullet"/>
        <w:spacing w:after="60"/>
        <w:ind w:left="317" w:hanging="173"/>
      </w:pPr>
      <w:r>
        <w:t>Dataset provenance, quality, scope, and governance</w:t>
      </w:r>
    </w:p>
    <w:p>
      <w:pPr>
        <w:pStyle w:val="ListBullet"/>
        <w:spacing w:after="60"/>
        <w:ind w:left="317" w:hanging="173"/>
      </w:pPr>
      <w:r>
        <w:t>Exploratory analysis and prediction-time feature engineering</w:t>
      </w:r>
    </w:p>
    <w:p>
      <w:pPr>
        <w:pStyle w:val="ListBullet"/>
        <w:spacing w:after="60"/>
        <w:ind w:left="317" w:hanging="173"/>
      </w:pPr>
      <w:r>
        <w:t>Cross-validated modeling, held-out evaluation, and capacity analysis</w:t>
      </w:r>
    </w:p>
    <w:p>
      <w:pPr>
        <w:pStyle w:val="ListBullet"/>
        <w:spacing w:after="60"/>
        <w:ind w:left="317" w:hanging="173"/>
      </w:pPr>
      <w:r>
        <w:t>Explainability, fairness screening, limitations, and operational controls</w:t>
      </w:r>
    </w:p>
    <w:p>
      <w:pPr>
        <w:pStyle w:val="ListBullet"/>
        <w:spacing w:after="60"/>
        <w:ind w:left="317" w:hanging="173"/>
      </w:pPr>
      <w:r>
        <w:t>Reproducible open-source repository structure and execution guide</w:t>
      </w:r>
    </w:p>
    <w:p>
      <w:r>
        <w:br w:type="page"/>
      </w:r>
    </w:p>
    <w:p>
      <w:pPr>
        <w:pStyle w:val="Heading1"/>
      </w:pPr>
      <w:r>
        <w:t>1  Problem framing and decision context</w:t>
      </w:r>
    </w:p>
    <w:p>
      <w:pPr>
        <w:pStyle w:val="Heading2"/>
      </w:pPr>
      <w:r>
        <w:t>Business problem</w:t>
      </w:r>
    </w:p>
    <w:p>
      <w:r>
        <w:t>Universities often learn about withdrawal after the opportunity for early support has narrowed. The proposed system gives student-support teams a consistent ranking after first-semester academic information becomes available. Staff can review high-risk records, verify context, and offer tutoring, counseling, financial guidance, or other support.</w:t>
      </w:r>
    </w:p>
    <w:p>
      <w:pPr>
        <w:pStyle w:val="Heading2"/>
      </w:pPr>
      <w:r>
        <w:t>Machine learning task</w:t>
      </w:r>
    </w:p>
    <w:p>
      <w:r>
        <w:t>The analytical task is supervised multiclass classification. The model estimates probabilities for Dropout, Enrolled, and Graduate. The probability of Dropout serves as the operational risk score, while the three-class output preserves the original target definition.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90" w:type="dxa"/>
              <w:start w:w="110" w:type="dxa"/>
              <w:bottom w:w="90" w:type="dxa"/>
              <w:end w:w="110" w:type="dxa"/>
            </w:tcMar>
            <w:shd w:fill="17324D"/>
          </w:tcPr>
          <w:p>
            <w:pPr>
              <w:spacing w:after="0"/>
            </w:pPr>
            <w:r/>
            <w:r>
              <w:rPr>
                <w:rFonts w:ascii="Arial" w:hAnsi="Arial"/>
                <w:b/>
                <w:color w:val="FFFFFF"/>
                <w:sz w:val="17"/>
              </w:rPr>
              <w:t>Design element</w:t>
            </w:r>
          </w:p>
        </w:tc>
        <w:tc>
          <w:tcPr>
            <w:tcW w:type="dxa" w:w="6696"/>
            <w:vAlign w:val="center"/>
            <w:tcMar>
              <w:top w:w="90" w:type="dxa"/>
              <w:start w:w="110" w:type="dxa"/>
              <w:bottom w:w="90" w:type="dxa"/>
              <w:end w:w="110" w:type="dxa"/>
            </w:tcMar>
            <w:shd w:fill="17324D"/>
          </w:tcPr>
          <w:p>
            <w:pPr>
              <w:spacing w:after="0"/>
            </w:pPr>
            <w:r/>
            <w:r>
              <w:rPr>
                <w:rFonts w:ascii="Arial" w:hAnsi="Arial"/>
                <w:b/>
                <w:color w:val="FFFFFF"/>
                <w:sz w:val="17"/>
              </w:rPr>
              <w:t>Project decision</w:t>
            </w:r>
          </w:p>
        </w:tc>
      </w:tr>
      <w:tr>
        <w:tc>
          <w:tcPr>
            <w:tcW w:type="dxa" w:w="2376"/>
            <w:vAlign w:val="center"/>
            <w:tcMar>
              <w:top w:w="90" w:type="dxa"/>
              <w:start w:w="110" w:type="dxa"/>
              <w:bottom w:w="90" w:type="dxa"/>
              <w:end w:w="110" w:type="dxa"/>
            </w:tcMar>
          </w:tcPr>
          <w:p>
            <w:pPr>
              <w:spacing w:after="0"/>
            </w:pPr>
            <w:r/>
            <w:r>
              <w:rPr>
                <w:rFonts w:ascii="Arial" w:hAnsi="Arial"/>
                <w:b w:val="0"/>
                <w:color w:val="111111"/>
                <w:sz w:val="16"/>
              </w:rPr>
              <w:t>Unit of analysis</w:t>
            </w:r>
          </w:p>
        </w:tc>
        <w:tc>
          <w:tcPr>
            <w:tcW w:type="dxa" w:w="6696"/>
            <w:vAlign w:val="center"/>
            <w:tcMar>
              <w:top w:w="90" w:type="dxa"/>
              <w:start w:w="110" w:type="dxa"/>
              <w:bottom w:w="90" w:type="dxa"/>
              <w:end w:w="110" w:type="dxa"/>
            </w:tcMar>
          </w:tcPr>
          <w:p>
            <w:pPr>
              <w:spacing w:after="0"/>
            </w:pPr>
            <w:r/>
            <w:r>
              <w:rPr>
                <w:rFonts w:ascii="Arial" w:hAnsi="Arial"/>
                <w:b w:val="0"/>
                <w:color w:val="111111"/>
                <w:sz w:val="16"/>
              </w:rPr>
              <w:t>One student record</w:t>
            </w:r>
          </w:p>
        </w:tc>
      </w:tr>
      <w:tr>
        <w:tc>
          <w:tcPr>
            <w:tcW w:type="dxa" w:w="2376"/>
            <w:vAlign w:val="center"/>
            <w:tcMar>
              <w:top w:w="90" w:type="dxa"/>
              <w:start w:w="110" w:type="dxa"/>
              <w:bottom w:w="90" w:type="dxa"/>
              <w:end w:w="110" w:type="dxa"/>
            </w:tcMar>
            <w:shd w:fill="EEF3F7"/>
          </w:tcPr>
          <w:p>
            <w:pPr>
              <w:spacing w:after="0"/>
            </w:pPr>
            <w:r/>
            <w:r>
              <w:rPr>
                <w:rFonts w:ascii="Arial" w:hAnsi="Arial"/>
                <w:b w:val="0"/>
                <w:color w:val="111111"/>
                <w:sz w:val="16"/>
              </w:rPr>
              <w:t>Prediction point</w:t>
            </w:r>
          </w:p>
        </w:tc>
        <w:tc>
          <w:tcPr>
            <w:tcW w:type="dxa" w:w="6696"/>
            <w:vAlign w:val="center"/>
            <w:tcMar>
              <w:top w:w="90" w:type="dxa"/>
              <w:start w:w="110" w:type="dxa"/>
              <w:bottom w:w="90" w:type="dxa"/>
              <w:end w:w="110" w:type="dxa"/>
            </w:tcMar>
            <w:shd w:fill="EEF3F7"/>
          </w:tcPr>
          <w:p>
            <w:pPr>
              <w:spacing w:after="0"/>
            </w:pPr>
            <w:r/>
            <w:r>
              <w:rPr>
                <w:rFonts w:ascii="Arial" w:hAnsi="Arial"/>
                <w:b w:val="0"/>
                <w:color w:val="111111"/>
                <w:sz w:val="16"/>
              </w:rPr>
              <w:t>After first-semester results, before second-semester information</w:t>
            </w:r>
          </w:p>
        </w:tc>
      </w:tr>
      <w:tr>
        <w:tc>
          <w:tcPr>
            <w:tcW w:type="dxa" w:w="2376"/>
            <w:vAlign w:val="center"/>
            <w:tcMar>
              <w:top w:w="90" w:type="dxa"/>
              <w:start w:w="110" w:type="dxa"/>
              <w:bottom w:w="90" w:type="dxa"/>
              <w:end w:w="110" w:type="dxa"/>
            </w:tcMar>
          </w:tcPr>
          <w:p>
            <w:pPr>
              <w:spacing w:after="0"/>
            </w:pPr>
            <w:r/>
            <w:r>
              <w:rPr>
                <w:rFonts w:ascii="Arial" w:hAnsi="Arial"/>
                <w:b w:val="0"/>
                <w:color w:val="111111"/>
                <w:sz w:val="16"/>
              </w:rPr>
              <w:t>Target</w:t>
            </w:r>
          </w:p>
        </w:tc>
        <w:tc>
          <w:tcPr>
            <w:tcW w:type="dxa" w:w="6696"/>
            <w:vAlign w:val="center"/>
            <w:tcMar>
              <w:top w:w="90" w:type="dxa"/>
              <w:start w:w="110" w:type="dxa"/>
              <w:bottom w:w="90" w:type="dxa"/>
              <w:end w:w="110" w:type="dxa"/>
            </w:tcMar>
          </w:tcPr>
          <w:p>
            <w:pPr>
              <w:spacing w:after="0"/>
            </w:pPr>
            <w:r/>
            <w:r>
              <w:rPr>
                <w:rFonts w:ascii="Arial" w:hAnsi="Arial"/>
                <w:b w:val="0"/>
                <w:color w:val="111111"/>
                <w:sz w:val="16"/>
              </w:rPr>
              <w:t>Dropout, Enrolled, or Graduate</w:t>
            </w:r>
          </w:p>
        </w:tc>
      </w:tr>
      <w:tr>
        <w:tc>
          <w:tcPr>
            <w:tcW w:type="dxa" w:w="2376"/>
            <w:vAlign w:val="center"/>
            <w:tcMar>
              <w:top w:w="90" w:type="dxa"/>
              <w:start w:w="110" w:type="dxa"/>
              <w:bottom w:w="90" w:type="dxa"/>
              <w:end w:w="110" w:type="dxa"/>
            </w:tcMar>
            <w:shd w:fill="EEF3F7"/>
          </w:tcPr>
          <w:p>
            <w:pPr>
              <w:spacing w:after="0"/>
            </w:pPr>
            <w:r/>
            <w:r>
              <w:rPr>
                <w:rFonts w:ascii="Arial" w:hAnsi="Arial"/>
                <w:b w:val="0"/>
                <w:color w:val="111111"/>
                <w:sz w:val="16"/>
              </w:rPr>
              <w:t>Operational score</w:t>
            </w:r>
          </w:p>
        </w:tc>
        <w:tc>
          <w:tcPr>
            <w:tcW w:type="dxa" w:w="6696"/>
            <w:vAlign w:val="center"/>
            <w:tcMar>
              <w:top w:w="90" w:type="dxa"/>
              <w:start w:w="110" w:type="dxa"/>
              <w:bottom w:w="90" w:type="dxa"/>
              <w:end w:w="110" w:type="dxa"/>
            </w:tcMar>
            <w:shd w:fill="EEF3F7"/>
          </w:tcPr>
          <w:p>
            <w:pPr>
              <w:spacing w:after="0"/>
            </w:pPr>
            <w:r/>
            <w:r>
              <w:rPr>
                <w:rFonts w:ascii="Arial" w:hAnsi="Arial"/>
                <w:b w:val="0"/>
                <w:color w:val="111111"/>
                <w:sz w:val="16"/>
              </w:rPr>
              <w:t>Predicted probability of Dropout</w:t>
            </w:r>
          </w:p>
        </w:tc>
      </w:tr>
      <w:tr>
        <w:tc>
          <w:tcPr>
            <w:tcW w:type="dxa" w:w="2376"/>
            <w:vAlign w:val="center"/>
            <w:tcMar>
              <w:top w:w="90" w:type="dxa"/>
              <w:start w:w="110" w:type="dxa"/>
              <w:bottom w:w="90" w:type="dxa"/>
              <w:end w:w="110" w:type="dxa"/>
            </w:tcMar>
          </w:tcPr>
          <w:p>
            <w:pPr>
              <w:spacing w:after="0"/>
            </w:pPr>
            <w:r/>
            <w:r>
              <w:rPr>
                <w:rFonts w:ascii="Arial" w:hAnsi="Arial"/>
                <w:b w:val="0"/>
                <w:color w:val="111111"/>
                <w:sz w:val="16"/>
              </w:rPr>
              <w:t>Intended user</w:t>
            </w:r>
          </w:p>
        </w:tc>
        <w:tc>
          <w:tcPr>
            <w:tcW w:type="dxa" w:w="6696"/>
            <w:vAlign w:val="center"/>
            <w:tcMar>
              <w:top w:w="90" w:type="dxa"/>
              <w:start w:w="110" w:type="dxa"/>
              <w:bottom w:w="90" w:type="dxa"/>
              <w:end w:w="110" w:type="dxa"/>
            </w:tcMar>
          </w:tcPr>
          <w:p>
            <w:pPr>
              <w:spacing w:after="0"/>
            </w:pPr>
            <w:r/>
            <w:r>
              <w:rPr>
                <w:rFonts w:ascii="Arial" w:hAnsi="Arial"/>
                <w:b w:val="0"/>
                <w:color w:val="111111"/>
                <w:sz w:val="16"/>
              </w:rPr>
              <w:t>Authorized student-support team</w:t>
            </w:r>
          </w:p>
        </w:tc>
      </w:tr>
      <w:tr>
        <w:tc>
          <w:tcPr>
            <w:tcW w:type="dxa" w:w="2376"/>
            <w:vAlign w:val="center"/>
            <w:tcMar>
              <w:top w:w="90" w:type="dxa"/>
              <w:start w:w="110" w:type="dxa"/>
              <w:bottom w:w="90" w:type="dxa"/>
              <w:end w:w="110" w:type="dxa"/>
            </w:tcMar>
            <w:shd w:fill="EEF3F7"/>
          </w:tcPr>
          <w:p>
            <w:pPr>
              <w:spacing w:after="0"/>
            </w:pPr>
            <w:r/>
            <w:r>
              <w:rPr>
                <w:rFonts w:ascii="Arial" w:hAnsi="Arial"/>
                <w:b w:val="0"/>
                <w:color w:val="111111"/>
                <w:sz w:val="16"/>
              </w:rPr>
              <w:t>Allowed action</w:t>
            </w:r>
          </w:p>
        </w:tc>
        <w:tc>
          <w:tcPr>
            <w:tcW w:type="dxa" w:w="6696"/>
            <w:vAlign w:val="center"/>
            <w:tcMar>
              <w:top w:w="90" w:type="dxa"/>
              <w:start w:w="110" w:type="dxa"/>
              <w:bottom w:w="90" w:type="dxa"/>
              <w:end w:w="110" w:type="dxa"/>
            </w:tcMar>
            <w:shd w:fill="EEF3F7"/>
          </w:tcPr>
          <w:p>
            <w:pPr>
              <w:spacing w:after="0"/>
            </w:pPr>
            <w:r/>
            <w:r>
              <w:rPr>
                <w:rFonts w:ascii="Arial" w:hAnsi="Arial"/>
                <w:b w:val="0"/>
                <w:color w:val="111111"/>
                <w:sz w:val="16"/>
              </w:rPr>
              <w:t>Human review and optional supportive outreach</w:t>
            </w:r>
          </w:p>
        </w:tc>
      </w:tr>
      <w:tr>
        <w:tc>
          <w:tcPr>
            <w:tcW w:type="dxa" w:w="2376"/>
            <w:vAlign w:val="center"/>
            <w:tcMar>
              <w:top w:w="90" w:type="dxa"/>
              <w:start w:w="110" w:type="dxa"/>
              <w:bottom w:w="90" w:type="dxa"/>
              <w:end w:w="110" w:type="dxa"/>
            </w:tcMar>
          </w:tcPr>
          <w:p>
            <w:pPr>
              <w:spacing w:after="0"/>
            </w:pPr>
            <w:r/>
            <w:r>
              <w:rPr>
                <w:rFonts w:ascii="Arial" w:hAnsi="Arial"/>
                <w:b w:val="0"/>
                <w:color w:val="111111"/>
                <w:sz w:val="16"/>
              </w:rPr>
              <w:t>Prohibited action</w:t>
            </w:r>
          </w:p>
        </w:tc>
        <w:tc>
          <w:tcPr>
            <w:tcW w:type="dxa" w:w="6696"/>
            <w:vAlign w:val="center"/>
            <w:tcMar>
              <w:top w:w="90" w:type="dxa"/>
              <w:start w:w="110" w:type="dxa"/>
              <w:bottom w:w="90" w:type="dxa"/>
              <w:end w:w="110" w:type="dxa"/>
            </w:tcMar>
          </w:tcPr>
          <w:p>
            <w:pPr>
              <w:spacing w:after="0"/>
            </w:pPr>
            <w:r/>
            <w:r>
              <w:rPr>
                <w:rFonts w:ascii="Arial" w:hAnsi="Arial"/>
                <w:b w:val="0"/>
                <w:color w:val="111111"/>
                <w:sz w:val="16"/>
              </w:rPr>
              <w:t>Automated exclusion, discipline, grading, aid removal, or denial of service</w:t>
            </w:r>
          </w:p>
        </w:tc>
      </w:tr>
    </w:tbl>
    <w:p>
      <w:pPr>
        <w:spacing w:after="0"/>
      </w:pPr>
    </w:p>
    <w:p>
      <w:pPr>
        <w:pStyle w:val="Heading2"/>
      </w:pPr>
      <w:r>
        <w:t>Predefined success criteria</w:t>
      </w:r>
    </w:p>
    <w:p>
      <w:r>
        <w:t>Dropout recall is prioritized because a missed dropout may lose the opportunity for support. Precision remains a constraint because unnecessary outreach can create stigma, frustration, and avoidable workload. The top-30% capture measure evaluates ranking quality under an explicit planning scenario, independently of the probability threshold.</w:t>
      </w:r>
    </w:p>
    <w:tbl>
      <w:tblPr>
        <w:tblW w:type="auto" w:w="0"/>
        <w:jc w:val="center"/>
        <w:tblLayout w:type="fixed"/>
        <w:tblLook w:firstColumn="1" w:firstRow="1" w:lastColumn="0" w:lastRow="0" w:noHBand="0" w:noVBand="1" w:val="04A0"/>
      </w:tblPr>
      <w:tblGrid>
        <w:gridCol w:w="10166"/>
      </w:tblGrid>
      <w:tr>
        <w:tc>
          <w:tcPr>
            <w:tcW w:type="dxa" w:w="9850"/>
            <w:shd w:fill="EEF3F7"/>
            <w:tcBorders>
              <w:left w:val="single" w:sz="24" w:space="0" w:color="17324D"/>
            </w:tcBorders>
            <w:tcMar>
              <w:top w:w="120" w:type="dxa"/>
              <w:start w:w="170" w:type="dxa"/>
              <w:bottom w:w="120" w:type="dxa"/>
              <w:end w:w="150" w:type="dxa"/>
            </w:tcMar>
          </w:tcPr>
          <w:p>
            <w:pPr>
              <w:spacing w:after="40"/>
            </w:pPr>
            <w:r/>
            <w:r>
              <w:rPr>
                <w:rFonts w:ascii="Arial" w:hAnsi="Arial"/>
                <w:b/>
                <w:color w:val="17324D"/>
                <w:sz w:val="20"/>
              </w:rPr>
              <w:t>Interpretation of the numeric targets</w:t>
            </w:r>
          </w:p>
          <w:p>
            <w:pPr>
              <w:spacing w:after="0" w:line="252" w:lineRule="auto"/>
            </w:pPr>
            <w:r>
              <w:rPr>
                <w:rFonts w:ascii="Arial" w:hAnsi="Arial"/>
                <w:color w:val="111111"/>
                <w:sz w:val="18"/>
              </w:rPr>
              <w:t>A 75% recall target means finding at least three of every four actual dropouts. A 50% precision floor means at least one in every two alerts should correspond to an eventual dropout. A 60% top-30% capture target asks the ranking to find three in five dropouts while reviewing less than one third of students, twice the capture expected from random selection at the same capacity.</w:t>
            </w:r>
          </w:p>
        </w:tc>
      </w:tr>
    </w:tbl>
    <w:p>
      <w:pPr>
        <w:spacing w:after="0"/>
      </w:pPr>
    </w:p>
    <w:p>
      <w:r>
        <w:br w:type="page"/>
      </w:r>
    </w:p>
    <w:p>
      <w:pPr>
        <w:pStyle w:val="Heading1"/>
      </w:pPr>
      <w:r>
        <w:t>2  Dataset and data understanding</w:t>
      </w:r>
    </w:p>
    <w:p>
      <w:pPr>
        <w:pStyle w:val="Heading2"/>
      </w:pPr>
      <w:r>
        <w:t>Source and selection rationale</w:t>
      </w:r>
    </w:p>
    <w:p>
      <w:r>
        <w:t>The UCI dataset was selected because it is public, well documented, licensed for reuse under CC BY 4.0, directly aligned with student dropout prediction, and large enough for a held-out evaluation. It includes enrollment context, academic preparation, socioeconomic indicators, macroeconomic variables, first-semester performance, and the three-class student outcome. The public DOI supports traceable attribution.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240"/>
            <w:vAlign w:val="center"/>
            <w:tcMar>
              <w:top w:w="90" w:type="dxa"/>
              <w:start w:w="110" w:type="dxa"/>
              <w:bottom w:w="90" w:type="dxa"/>
              <w:end w:w="110" w:type="dxa"/>
            </w:tcMar>
            <w:shd w:fill="17324D"/>
          </w:tcPr>
          <w:p>
            <w:pPr>
              <w:spacing w:after="0"/>
            </w:pPr>
            <w:r/>
            <w:r>
              <w:rPr>
                <w:rFonts w:ascii="Arial" w:hAnsi="Arial"/>
                <w:b/>
                <w:color w:val="FFFFFF"/>
                <w:sz w:val="17"/>
              </w:rPr>
              <w:t>Dataset characteristic</w:t>
            </w:r>
          </w:p>
        </w:tc>
        <w:tc>
          <w:tcPr>
            <w:tcW w:type="dxa" w:w="5832"/>
            <w:vAlign w:val="center"/>
            <w:tcMar>
              <w:top w:w="90" w:type="dxa"/>
              <w:start w:w="110" w:type="dxa"/>
              <w:bottom w:w="90" w:type="dxa"/>
              <w:end w:w="110" w:type="dxa"/>
            </w:tcMar>
            <w:shd w:fill="17324D"/>
          </w:tcPr>
          <w:p>
            <w:pPr>
              <w:spacing w:after="0"/>
            </w:pPr>
            <w:r/>
            <w:r>
              <w:rPr>
                <w:rFonts w:ascii="Arial" w:hAnsi="Arial"/>
                <w:b/>
                <w:color w:val="FFFFFF"/>
                <w:sz w:val="17"/>
              </w:rPr>
              <w:t>Value</w:t>
            </w:r>
          </w:p>
        </w:tc>
      </w:tr>
      <w:tr>
        <w:tc>
          <w:tcPr>
            <w:tcW w:type="dxa" w:w="3240"/>
            <w:vAlign w:val="center"/>
            <w:tcMar>
              <w:top w:w="90" w:type="dxa"/>
              <w:start w:w="110" w:type="dxa"/>
              <w:bottom w:w="90" w:type="dxa"/>
              <w:end w:w="110" w:type="dxa"/>
            </w:tcMar>
          </w:tcPr>
          <w:p>
            <w:pPr>
              <w:spacing w:after="0"/>
            </w:pPr>
            <w:r/>
            <w:r>
              <w:rPr>
                <w:rFonts w:ascii="Arial" w:hAnsi="Arial"/>
                <w:b w:val="0"/>
                <w:color w:val="111111"/>
                <w:sz w:val="16"/>
              </w:rPr>
              <w:t>Repository</w:t>
            </w:r>
          </w:p>
        </w:tc>
        <w:tc>
          <w:tcPr>
            <w:tcW w:type="dxa" w:w="5832"/>
            <w:vAlign w:val="center"/>
            <w:tcMar>
              <w:top w:w="90" w:type="dxa"/>
              <w:start w:w="110" w:type="dxa"/>
              <w:bottom w:w="90" w:type="dxa"/>
              <w:end w:w="110" w:type="dxa"/>
            </w:tcMar>
          </w:tcPr>
          <w:p>
            <w:pPr>
              <w:spacing w:after="0"/>
            </w:pPr>
            <w:r/>
            <w:r>
              <w:rPr>
                <w:rFonts w:ascii="Arial" w:hAnsi="Arial"/>
                <w:b w:val="0"/>
                <w:color w:val="111111"/>
                <w:sz w:val="16"/>
              </w:rPr>
              <w:t>UCI Machine Learning Repository</w:t>
            </w:r>
          </w:p>
        </w:tc>
      </w:tr>
      <w:tr>
        <w:tc>
          <w:tcPr>
            <w:tcW w:type="dxa" w:w="3240"/>
            <w:vAlign w:val="center"/>
            <w:tcMar>
              <w:top w:w="90" w:type="dxa"/>
              <w:start w:w="110" w:type="dxa"/>
              <w:bottom w:w="90" w:type="dxa"/>
              <w:end w:w="110" w:type="dxa"/>
            </w:tcMar>
            <w:shd w:fill="EEF3F7"/>
          </w:tcPr>
          <w:p>
            <w:pPr>
              <w:spacing w:after="0"/>
            </w:pPr>
            <w:r/>
            <w:r>
              <w:rPr>
                <w:rFonts w:ascii="Arial" w:hAnsi="Arial"/>
                <w:b w:val="0"/>
                <w:color w:val="111111"/>
                <w:sz w:val="16"/>
              </w:rPr>
              <w:t>Dataset</w:t>
            </w:r>
          </w:p>
        </w:tc>
        <w:tc>
          <w:tcPr>
            <w:tcW w:type="dxa" w:w="5832"/>
            <w:vAlign w:val="center"/>
            <w:tcMar>
              <w:top w:w="90" w:type="dxa"/>
              <w:start w:w="110" w:type="dxa"/>
              <w:bottom w:w="90" w:type="dxa"/>
              <w:end w:w="110" w:type="dxa"/>
            </w:tcMar>
            <w:shd w:fill="EEF3F7"/>
          </w:tcPr>
          <w:p>
            <w:pPr>
              <w:spacing w:after="0"/>
            </w:pPr>
            <w:r/>
            <w:r>
              <w:rPr>
                <w:rFonts w:ascii="Arial" w:hAnsi="Arial"/>
                <w:b w:val="0"/>
                <w:color w:val="111111"/>
                <w:sz w:val="16"/>
              </w:rPr>
              <w:t>Predict Students' Dropout and Academic Success</w:t>
            </w:r>
          </w:p>
        </w:tc>
      </w:tr>
      <w:tr>
        <w:tc>
          <w:tcPr>
            <w:tcW w:type="dxa" w:w="3240"/>
            <w:vAlign w:val="center"/>
            <w:tcMar>
              <w:top w:w="90" w:type="dxa"/>
              <w:start w:w="110" w:type="dxa"/>
              <w:bottom w:w="90" w:type="dxa"/>
              <w:end w:w="110" w:type="dxa"/>
            </w:tcMar>
          </w:tcPr>
          <w:p>
            <w:pPr>
              <w:spacing w:after="0"/>
            </w:pPr>
            <w:r/>
            <w:r>
              <w:rPr>
                <w:rFonts w:ascii="Arial" w:hAnsi="Arial"/>
                <w:b w:val="0"/>
                <w:color w:val="111111"/>
                <w:sz w:val="16"/>
              </w:rPr>
              <w:t>DOI</w:t>
            </w:r>
          </w:p>
        </w:tc>
        <w:tc>
          <w:tcPr>
            <w:tcW w:type="dxa" w:w="5832"/>
            <w:vAlign w:val="center"/>
            <w:tcMar>
              <w:top w:w="90" w:type="dxa"/>
              <w:start w:w="110" w:type="dxa"/>
              <w:bottom w:w="90" w:type="dxa"/>
              <w:end w:w="110" w:type="dxa"/>
            </w:tcMar>
          </w:tcPr>
          <w:p>
            <w:pPr>
              <w:spacing w:after="0"/>
            </w:pPr>
            <w:r/>
            <w:r>
              <w:rPr>
                <w:rFonts w:ascii="Arial" w:hAnsi="Arial"/>
                <w:b w:val="0"/>
                <w:color w:val="111111"/>
                <w:sz w:val="16"/>
              </w:rPr>
              <w:t>10.24432/C5MC89</w:t>
            </w:r>
          </w:p>
        </w:tc>
      </w:tr>
      <w:tr>
        <w:tc>
          <w:tcPr>
            <w:tcW w:type="dxa" w:w="3240"/>
            <w:vAlign w:val="center"/>
            <w:tcMar>
              <w:top w:w="90" w:type="dxa"/>
              <w:start w:w="110" w:type="dxa"/>
              <w:bottom w:w="90" w:type="dxa"/>
              <w:end w:w="110" w:type="dxa"/>
            </w:tcMar>
            <w:shd w:fill="EEF3F7"/>
          </w:tcPr>
          <w:p>
            <w:pPr>
              <w:spacing w:after="0"/>
            </w:pPr>
            <w:r/>
            <w:r>
              <w:rPr>
                <w:rFonts w:ascii="Arial" w:hAnsi="Arial"/>
                <w:b w:val="0"/>
                <w:color w:val="111111"/>
                <w:sz w:val="16"/>
              </w:rPr>
              <w:t>License</w:t>
            </w:r>
          </w:p>
        </w:tc>
        <w:tc>
          <w:tcPr>
            <w:tcW w:type="dxa" w:w="5832"/>
            <w:vAlign w:val="center"/>
            <w:tcMar>
              <w:top w:w="90" w:type="dxa"/>
              <w:start w:w="110" w:type="dxa"/>
              <w:bottom w:w="90" w:type="dxa"/>
              <w:end w:w="110" w:type="dxa"/>
            </w:tcMar>
            <w:shd w:fill="EEF3F7"/>
          </w:tcPr>
          <w:p>
            <w:pPr>
              <w:spacing w:after="0"/>
            </w:pPr>
            <w:r/>
            <w:r>
              <w:rPr>
                <w:rFonts w:ascii="Arial" w:hAnsi="Arial"/>
                <w:b w:val="0"/>
                <w:color w:val="111111"/>
                <w:sz w:val="16"/>
              </w:rPr>
              <w:t>Creative Commons Attribution 4.0</w:t>
            </w:r>
          </w:p>
        </w:tc>
      </w:tr>
      <w:tr>
        <w:tc>
          <w:tcPr>
            <w:tcW w:type="dxa" w:w="3240"/>
            <w:vAlign w:val="center"/>
            <w:tcMar>
              <w:top w:w="90" w:type="dxa"/>
              <w:start w:w="110" w:type="dxa"/>
              <w:bottom w:w="90" w:type="dxa"/>
              <w:end w:w="110" w:type="dxa"/>
            </w:tcMar>
          </w:tcPr>
          <w:p>
            <w:pPr>
              <w:spacing w:after="0"/>
            </w:pPr>
            <w:r/>
            <w:r>
              <w:rPr>
                <w:rFonts w:ascii="Arial" w:hAnsi="Arial"/>
                <w:b w:val="0"/>
                <w:color w:val="111111"/>
                <w:sz w:val="16"/>
              </w:rPr>
              <w:t>Rows</w:t>
            </w:r>
          </w:p>
        </w:tc>
        <w:tc>
          <w:tcPr>
            <w:tcW w:type="dxa" w:w="5832"/>
            <w:vAlign w:val="center"/>
            <w:tcMar>
              <w:top w:w="90" w:type="dxa"/>
              <w:start w:w="110" w:type="dxa"/>
              <w:bottom w:w="90" w:type="dxa"/>
              <w:end w:w="110" w:type="dxa"/>
            </w:tcMar>
          </w:tcPr>
          <w:p>
            <w:pPr>
              <w:spacing w:after="0"/>
            </w:pPr>
            <w:r/>
            <w:r>
              <w:rPr>
                <w:rFonts w:ascii="Arial" w:hAnsi="Arial"/>
                <w:b w:val="0"/>
                <w:color w:val="111111"/>
                <w:sz w:val="16"/>
              </w:rPr>
              <w:t>4,424 student records</w:t>
            </w:r>
          </w:p>
        </w:tc>
      </w:tr>
      <w:tr>
        <w:tc>
          <w:tcPr>
            <w:tcW w:type="dxa" w:w="3240"/>
            <w:vAlign w:val="center"/>
            <w:tcMar>
              <w:top w:w="90" w:type="dxa"/>
              <w:start w:w="110" w:type="dxa"/>
              <w:bottom w:w="90" w:type="dxa"/>
              <w:end w:w="110" w:type="dxa"/>
            </w:tcMar>
            <w:shd w:fill="EEF3F7"/>
          </w:tcPr>
          <w:p>
            <w:pPr>
              <w:spacing w:after="0"/>
            </w:pPr>
            <w:r/>
            <w:r>
              <w:rPr>
                <w:rFonts w:ascii="Arial" w:hAnsi="Arial"/>
                <w:b w:val="0"/>
                <w:color w:val="111111"/>
                <w:sz w:val="16"/>
              </w:rPr>
              <w:t>Original inputs</w:t>
            </w:r>
          </w:p>
        </w:tc>
        <w:tc>
          <w:tcPr>
            <w:tcW w:type="dxa" w:w="5832"/>
            <w:vAlign w:val="center"/>
            <w:tcMar>
              <w:top w:w="90" w:type="dxa"/>
              <w:start w:w="110" w:type="dxa"/>
              <w:bottom w:w="90" w:type="dxa"/>
              <w:end w:w="110" w:type="dxa"/>
            </w:tcMar>
            <w:shd w:fill="EEF3F7"/>
          </w:tcPr>
          <w:p>
            <w:pPr>
              <w:spacing w:after="0"/>
            </w:pPr>
            <w:r/>
            <w:r>
              <w:rPr>
                <w:rFonts w:ascii="Arial" w:hAnsi="Arial"/>
                <w:b w:val="0"/>
                <w:color w:val="111111"/>
                <w:sz w:val="16"/>
              </w:rPr>
              <w:t>36 predictors</w:t>
            </w:r>
          </w:p>
        </w:tc>
      </w:tr>
      <w:tr>
        <w:tc>
          <w:tcPr>
            <w:tcW w:type="dxa" w:w="3240"/>
            <w:vAlign w:val="center"/>
            <w:tcMar>
              <w:top w:w="90" w:type="dxa"/>
              <w:start w:w="110" w:type="dxa"/>
              <w:bottom w:w="90" w:type="dxa"/>
              <w:end w:w="110" w:type="dxa"/>
            </w:tcMar>
          </w:tcPr>
          <w:p>
            <w:pPr>
              <w:spacing w:after="0"/>
            </w:pPr>
            <w:r/>
            <w:r>
              <w:rPr>
                <w:rFonts w:ascii="Arial" w:hAnsi="Arial"/>
                <w:b w:val="0"/>
                <w:color w:val="111111"/>
                <w:sz w:val="16"/>
              </w:rPr>
              <w:t>Target</w:t>
            </w:r>
          </w:p>
        </w:tc>
        <w:tc>
          <w:tcPr>
            <w:tcW w:type="dxa" w:w="5832"/>
            <w:vAlign w:val="center"/>
            <w:tcMar>
              <w:top w:w="90" w:type="dxa"/>
              <w:start w:w="110" w:type="dxa"/>
              <w:bottom w:w="90" w:type="dxa"/>
              <w:end w:w="110" w:type="dxa"/>
            </w:tcMar>
          </w:tcPr>
          <w:p>
            <w:pPr>
              <w:spacing w:after="0"/>
            </w:pPr>
            <w:r/>
            <w:r>
              <w:rPr>
                <w:rFonts w:ascii="Arial" w:hAnsi="Arial"/>
                <w:b w:val="0"/>
                <w:color w:val="111111"/>
                <w:sz w:val="16"/>
              </w:rPr>
              <w:t>Dropout, Enrolled, Graduate</w:t>
            </w:r>
          </w:p>
        </w:tc>
      </w:tr>
      <w:tr>
        <w:tc>
          <w:tcPr>
            <w:tcW w:type="dxa" w:w="3240"/>
            <w:vAlign w:val="center"/>
            <w:tcMar>
              <w:top w:w="90" w:type="dxa"/>
              <w:start w:w="110" w:type="dxa"/>
              <w:bottom w:w="90" w:type="dxa"/>
              <w:end w:w="110" w:type="dxa"/>
            </w:tcMar>
            <w:shd w:fill="EEF3F7"/>
          </w:tcPr>
          <w:p>
            <w:pPr>
              <w:spacing w:after="0"/>
            </w:pPr>
            <w:r/>
            <w:r>
              <w:rPr>
                <w:rFonts w:ascii="Arial" w:hAnsi="Arial"/>
                <w:b w:val="0"/>
                <w:color w:val="111111"/>
                <w:sz w:val="16"/>
              </w:rPr>
              <w:t>Machine-readable missing values</w:t>
            </w:r>
          </w:p>
        </w:tc>
        <w:tc>
          <w:tcPr>
            <w:tcW w:type="dxa" w:w="5832"/>
            <w:vAlign w:val="center"/>
            <w:tcMar>
              <w:top w:w="90" w:type="dxa"/>
              <w:start w:w="110" w:type="dxa"/>
              <w:bottom w:w="90" w:type="dxa"/>
              <w:end w:w="110" w:type="dxa"/>
            </w:tcMar>
            <w:shd w:fill="EEF3F7"/>
          </w:tcPr>
          <w:p>
            <w:pPr>
              <w:spacing w:after="0"/>
            </w:pPr>
            <w:r/>
            <w:r>
              <w:rPr>
                <w:rFonts w:ascii="Arial" w:hAnsi="Arial"/>
                <w:b w:val="0"/>
                <w:color w:val="111111"/>
                <w:sz w:val="16"/>
              </w:rPr>
              <w:t>None reported in the downloaded CSV</w:t>
            </w:r>
          </w:p>
        </w:tc>
      </w:tr>
      <w:tr>
        <w:tc>
          <w:tcPr>
            <w:tcW w:type="dxa" w:w="3240"/>
            <w:vAlign w:val="center"/>
            <w:tcMar>
              <w:top w:w="90" w:type="dxa"/>
              <w:start w:w="110" w:type="dxa"/>
              <w:bottom w:w="90" w:type="dxa"/>
              <w:end w:w="110" w:type="dxa"/>
            </w:tcMar>
          </w:tcPr>
          <w:p>
            <w:pPr>
              <w:spacing w:after="0"/>
            </w:pPr>
            <w:r/>
            <w:r>
              <w:rPr>
                <w:rFonts w:ascii="Arial" w:hAnsi="Arial"/>
                <w:b w:val="0"/>
                <w:color w:val="111111"/>
                <w:sz w:val="16"/>
              </w:rPr>
              <w:t>Exact duplicate rows</w:t>
            </w:r>
          </w:p>
        </w:tc>
        <w:tc>
          <w:tcPr>
            <w:tcW w:type="dxa" w:w="5832"/>
            <w:vAlign w:val="center"/>
            <w:tcMar>
              <w:top w:w="90" w:type="dxa"/>
              <w:start w:w="110" w:type="dxa"/>
              <w:bottom w:w="90" w:type="dxa"/>
              <w:end w:w="110" w:type="dxa"/>
            </w:tcMar>
          </w:tcPr>
          <w:p>
            <w:pPr>
              <w:spacing w:after="0"/>
            </w:pPr>
            <w:r/>
            <w:r>
              <w:rPr>
                <w:rFonts w:ascii="Arial" w:hAnsi="Arial"/>
                <w:b w:val="0"/>
                <w:color w:val="111111"/>
                <w:sz w:val="16"/>
              </w:rPr>
              <w:t>None detected</w:t>
            </w:r>
          </w:p>
        </w:tc>
      </w:tr>
    </w:tbl>
    <w:p>
      <w:pPr>
        <w:spacing w:after="0"/>
      </w:pPr>
    </w:p>
    <w:p>
      <w:pPr>
        <w:keepNext/>
        <w:jc w:val="center"/>
      </w:pPr>
      <w:r>
        <w:drawing>
          <wp:inline xmlns:a="http://schemas.openxmlformats.org/drawingml/2006/main" xmlns:pic="http://schemas.openxmlformats.org/drawingml/2006/picture">
            <wp:extent cx="5806440" cy="3419166"/>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11"/>
                    <a:stretch>
                      <a:fillRect/>
                    </a:stretch>
                  </pic:blipFill>
                  <pic:spPr>
                    <a:xfrm>
                      <a:off x="0" y="0"/>
                      <a:ext cx="5806440" cy="3419166"/>
                    </a:xfrm>
                    <a:prstGeom prst="rect"/>
                  </pic:spPr>
                </pic:pic>
              </a:graphicData>
            </a:graphic>
          </wp:inline>
        </w:drawing>
      </w:r>
    </w:p>
    <w:p>
      <w:pPr>
        <w:pStyle w:val="CaptionCompact"/>
        <w:jc w:val="center"/>
      </w:pPr>
      <w:r>
        <w:t>Figure 1. Outcome distribution across the full dataset. Source: UCI dataset; reproduced by the Task 3 workflow.</w:t>
      </w:r>
    </w:p>
    <w:p>
      <w:pPr>
        <w:pStyle w:val="Heading2"/>
      </w:pPr>
      <w:r>
        <w:t>Quality and scope decisions</w:t>
      </w:r>
    </w:p>
    <w:p>
      <w:pPr>
        <w:pStyle w:val="ListBullet"/>
        <w:spacing w:after="60"/>
        <w:ind w:left="317" w:hanging="173"/>
      </w:pPr>
      <w:r>
        <w:t>The source spelling Nacionality was standardized to Nationality.</w:t>
      </w:r>
    </w:p>
    <w:p>
      <w:pPr>
        <w:pStyle w:val="ListBullet"/>
        <w:spacing w:after="60"/>
        <w:ind w:left="317" w:hanging="173"/>
      </w:pPr>
      <w:r>
        <w:t>Occupation code 99 was converted to an explicit Unknown or not stated category.</w:t>
      </w:r>
    </w:p>
    <w:p>
      <w:pPr>
        <w:pStyle w:val="ListBullet"/>
        <w:spacing w:after="60"/>
        <w:ind w:left="317" w:hanging="173"/>
      </w:pPr>
      <w:r>
        <w:t>Six second-semester academic variables were excluded because they would be unavailable at the stated prediction point.</w:t>
      </w:r>
    </w:p>
    <w:p>
      <w:pPr>
        <w:pStyle w:val="ListBullet"/>
        <w:spacing w:after="60"/>
        <w:ind w:left="317" w:hanging="173"/>
      </w:pPr>
      <w:r>
        <w:t>Continuous outliers were retained because they were plausible values and tree-based models are comparatively robust to them.</w:t>
      </w:r>
    </w:p>
    <w:p>
      <w:pPr>
        <w:pStyle w:val="ListBullet"/>
        <w:spacing w:after="60"/>
        <w:ind w:left="317" w:hanging="173"/>
      </w:pPr>
      <w:r>
        <w:t>The dataset was split once into 3,539 development records and 885 held-out test records using stratification and random seed 42.</w:t>
      </w:r>
    </w:p>
    <w:tbl>
      <w:tblPr>
        <w:tblW w:type="auto" w:w="0"/>
        <w:jc w:val="center"/>
        <w:tblLayout w:type="fixed"/>
        <w:tblLook w:firstColumn="1" w:firstRow="1" w:lastColumn="0" w:lastRow="0" w:noHBand="0" w:noVBand="1" w:val="04A0"/>
      </w:tblPr>
      <w:tblGrid>
        <w:gridCol w:w="10166"/>
      </w:tblGrid>
      <w:tr>
        <w:tc>
          <w:tcPr>
            <w:tcW w:type="dxa" w:w="9850"/>
            <w:shd w:fill="FAECEF"/>
            <w:tcBorders>
              <w:left w:val="single" w:sz="24" w:space="0" w:color="D4475C"/>
            </w:tcBorders>
            <w:tcMar>
              <w:top w:w="120" w:type="dxa"/>
              <w:start w:w="170" w:type="dxa"/>
              <w:bottom w:w="120" w:type="dxa"/>
              <w:end w:w="150" w:type="dxa"/>
            </w:tcMar>
          </w:tcPr>
          <w:p>
            <w:pPr>
              <w:spacing w:after="40"/>
            </w:pPr>
            <w:r/>
            <w:r>
              <w:rPr>
                <w:rFonts w:ascii="Arial" w:hAnsi="Arial"/>
                <w:b/>
                <w:color w:val="D4475C"/>
                <w:sz w:val="20"/>
              </w:rPr>
              <w:t>Data limitation</w:t>
            </w:r>
          </w:p>
          <w:p>
            <w:pPr>
              <w:spacing w:after="0" w:line="252" w:lineRule="auto"/>
            </w:pPr>
            <w:r>
              <w:rPr>
                <w:rFonts w:ascii="Arial" w:hAnsi="Arial"/>
                <w:color w:val="111111"/>
                <w:sz w:val="18"/>
              </w:rPr>
              <w:t>The records come from one Portuguese institution. Performance, calibration, and fairness may change at another institution or in a later cohort. Local validation is required before student-facing use.</w:t>
            </w:r>
          </w:p>
        </w:tc>
      </w:tr>
    </w:tbl>
    <w:p>
      <w:pPr>
        <w:spacing w:after="0"/>
      </w:pPr>
    </w:p>
    <w:p>
      <w:pPr>
        <w:pStyle w:val="Heading1"/>
      </w:pPr>
      <w:r>
        <w:t>3  Exploratory analysis and feature engineering</w:t>
      </w:r>
    </w:p>
    <w:p>
      <w:r>
        <w:t>Training-only exploratory analysis showed that first-semester academic progress and immediate financial indicators have the clearest descriptive relationship with dropout. These patterns guide feature construction and interpretation, but they do not establish causation.</w:t>
      </w:r>
    </w:p>
    <w:p>
      <w:pPr>
        <w:keepNext/>
        <w:jc w:val="center"/>
      </w:pPr>
      <w:r>
        <w:drawing>
          <wp:inline xmlns:a="http://schemas.openxmlformats.org/drawingml/2006/main" xmlns:pic="http://schemas.openxmlformats.org/drawingml/2006/picture">
            <wp:extent cx="5989320" cy="4012129"/>
            <wp:docPr id="2" name="Picture 2"/>
            <wp:cNvGraphicFramePr>
              <a:graphicFrameLocks noChangeAspect="1"/>
            </wp:cNvGraphicFramePr>
            <a:graphic>
              <a:graphicData uri="http://schemas.openxmlformats.org/drawingml/2006/picture">
                <pic:pic>
                  <pic:nvPicPr>
                    <pic:cNvPr id="0" name="02_key_factor_dropout_rates.png"/>
                    <pic:cNvPicPr/>
                  </pic:nvPicPr>
                  <pic:blipFill>
                    <a:blip r:embed="rId12"/>
                    <a:stretch>
                      <a:fillRect/>
                    </a:stretch>
                  </pic:blipFill>
                  <pic:spPr>
                    <a:xfrm>
                      <a:off x="0" y="0"/>
                      <a:ext cx="5989320" cy="4012129"/>
                    </a:xfrm>
                    <a:prstGeom prst="rect"/>
                  </pic:spPr>
                </pic:pic>
              </a:graphicData>
            </a:graphic>
          </wp:inline>
        </w:drawing>
      </w:r>
    </w:p>
    <w:p>
      <w:pPr>
        <w:pStyle w:val="CaptionCompact"/>
        <w:jc w:val="center"/>
      </w:pPr>
      <w:r>
        <w:t>Figure 2. Training-partition dropout rates for selected descriptive factors. Associations are not causal effects.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vAlign w:val="center"/>
            <w:tcMar>
              <w:top w:w="90" w:type="dxa"/>
              <w:start w:w="110" w:type="dxa"/>
              <w:bottom w:w="90" w:type="dxa"/>
              <w:end w:w="110" w:type="dxa"/>
            </w:tcMar>
            <w:shd w:fill="17324D"/>
          </w:tcPr>
          <w:p>
            <w:pPr>
              <w:spacing w:after="0"/>
            </w:pPr>
            <w:r/>
            <w:r>
              <w:rPr>
                <w:rFonts w:ascii="Arial" w:hAnsi="Arial"/>
                <w:b/>
                <w:color w:val="FFFFFF"/>
                <w:sz w:val="17"/>
              </w:rPr>
              <w:t>Engineered feature</w:t>
            </w:r>
          </w:p>
        </w:tc>
        <w:tc>
          <w:tcPr>
            <w:tcW w:type="dxa" w:w="5904"/>
            <w:vAlign w:val="center"/>
            <w:tcMar>
              <w:top w:w="90" w:type="dxa"/>
              <w:start w:w="110" w:type="dxa"/>
              <w:bottom w:w="90" w:type="dxa"/>
              <w:end w:w="110" w:type="dxa"/>
            </w:tcMar>
            <w:shd w:fill="17324D"/>
          </w:tcPr>
          <w:p>
            <w:pPr>
              <w:spacing w:after="0"/>
            </w:pPr>
            <w:r/>
            <w:r>
              <w:rPr>
                <w:rFonts w:ascii="Arial" w:hAnsi="Arial"/>
                <w:b/>
                <w:color w:val="FFFFFF"/>
                <w:sz w:val="17"/>
              </w:rPr>
              <w:t>Definition and purpose</w:t>
            </w:r>
          </w:p>
        </w:tc>
      </w:tr>
      <w:tr>
        <w:tc>
          <w:tcPr>
            <w:tcW w:type="dxa" w:w="3168"/>
            <w:vAlign w:val="center"/>
            <w:tcMar>
              <w:top w:w="90" w:type="dxa"/>
              <w:start w:w="110" w:type="dxa"/>
              <w:bottom w:w="90" w:type="dxa"/>
              <w:end w:w="110" w:type="dxa"/>
            </w:tcMar>
          </w:tcPr>
          <w:p>
            <w:pPr>
              <w:spacing w:after="0"/>
            </w:pPr>
            <w:r/>
            <w:r>
              <w:rPr>
                <w:rFonts w:ascii="Arial" w:hAnsi="Arial"/>
                <w:b w:val="0"/>
                <w:color w:val="111111"/>
                <w:sz w:val="16"/>
              </w:rPr>
              <w:t>First-semester approval rate</w:t>
            </w:r>
          </w:p>
        </w:tc>
        <w:tc>
          <w:tcPr>
            <w:tcW w:type="dxa" w:w="5904"/>
            <w:vAlign w:val="center"/>
            <w:tcMar>
              <w:top w:w="90" w:type="dxa"/>
              <w:start w:w="110" w:type="dxa"/>
              <w:bottom w:w="90" w:type="dxa"/>
              <w:end w:w="110" w:type="dxa"/>
            </w:tcMar>
          </w:tcPr>
          <w:p>
            <w:pPr>
              <w:spacing w:after="0"/>
            </w:pPr>
            <w:r/>
            <w:r>
              <w:rPr>
                <w:rFonts w:ascii="Arial" w:hAnsi="Arial"/>
                <w:b w:val="0"/>
                <w:color w:val="111111"/>
                <w:sz w:val="16"/>
              </w:rPr>
              <w:t>Approved units divided by enrolled units, bounded from zero to one</w:t>
            </w:r>
          </w:p>
        </w:tc>
      </w:tr>
      <w:tr>
        <w:tc>
          <w:tcPr>
            <w:tcW w:type="dxa" w:w="3168"/>
            <w:vAlign w:val="center"/>
            <w:tcMar>
              <w:top w:w="90" w:type="dxa"/>
              <w:start w:w="110" w:type="dxa"/>
              <w:bottom w:w="90" w:type="dxa"/>
              <w:end w:w="110" w:type="dxa"/>
            </w:tcMar>
            <w:shd w:fill="EEF3F7"/>
          </w:tcPr>
          <w:p>
            <w:pPr>
              <w:spacing w:after="0"/>
            </w:pPr>
            <w:r/>
            <w:r>
              <w:rPr>
                <w:rFonts w:ascii="Arial" w:hAnsi="Arial"/>
                <w:b w:val="0"/>
                <w:color w:val="111111"/>
                <w:sz w:val="16"/>
              </w:rPr>
              <w:t>Evaluation intensity</w:t>
            </w:r>
          </w:p>
        </w:tc>
        <w:tc>
          <w:tcPr>
            <w:tcW w:type="dxa" w:w="5904"/>
            <w:vAlign w:val="center"/>
            <w:tcMar>
              <w:top w:w="90" w:type="dxa"/>
              <w:start w:w="110" w:type="dxa"/>
              <w:bottom w:w="90" w:type="dxa"/>
              <w:end w:w="110" w:type="dxa"/>
            </w:tcMar>
            <w:shd w:fill="EEF3F7"/>
          </w:tcPr>
          <w:p>
            <w:pPr>
              <w:spacing w:after="0"/>
            </w:pPr>
            <w:r/>
            <w:r>
              <w:rPr>
                <w:rFonts w:ascii="Arial" w:hAnsi="Arial"/>
                <w:b w:val="0"/>
                <w:color w:val="111111"/>
                <w:sz w:val="16"/>
              </w:rPr>
              <w:t>Evaluations divided by enrolled units</w:t>
            </w:r>
          </w:p>
        </w:tc>
      </w:tr>
      <w:tr>
        <w:tc>
          <w:tcPr>
            <w:tcW w:type="dxa" w:w="3168"/>
            <w:vAlign w:val="center"/>
            <w:tcMar>
              <w:top w:w="90" w:type="dxa"/>
              <w:start w:w="110" w:type="dxa"/>
              <w:bottom w:w="90" w:type="dxa"/>
              <w:end w:w="110" w:type="dxa"/>
            </w:tcMar>
          </w:tcPr>
          <w:p>
            <w:pPr>
              <w:spacing w:after="0"/>
            </w:pPr>
            <w:r/>
            <w:r>
              <w:rPr>
                <w:rFonts w:ascii="Arial" w:hAnsi="Arial"/>
                <w:b w:val="0"/>
                <w:color w:val="111111"/>
                <w:sz w:val="16"/>
              </w:rPr>
              <w:t>No-evaluation rate</w:t>
            </w:r>
          </w:p>
        </w:tc>
        <w:tc>
          <w:tcPr>
            <w:tcW w:type="dxa" w:w="5904"/>
            <w:vAlign w:val="center"/>
            <w:tcMar>
              <w:top w:w="90" w:type="dxa"/>
              <w:start w:w="110" w:type="dxa"/>
              <w:bottom w:w="90" w:type="dxa"/>
              <w:end w:w="110" w:type="dxa"/>
            </w:tcMar>
          </w:tcPr>
          <w:p>
            <w:pPr>
              <w:spacing w:after="0"/>
            </w:pPr>
            <w:r/>
            <w:r>
              <w:rPr>
                <w:rFonts w:ascii="Arial" w:hAnsi="Arial"/>
                <w:b w:val="0"/>
                <w:color w:val="111111"/>
                <w:sz w:val="16"/>
              </w:rPr>
              <w:t>Units without evaluation divided by enrolled units</w:t>
            </w:r>
          </w:p>
        </w:tc>
      </w:tr>
      <w:tr>
        <w:tc>
          <w:tcPr>
            <w:tcW w:type="dxa" w:w="3168"/>
            <w:vAlign w:val="center"/>
            <w:tcMar>
              <w:top w:w="90" w:type="dxa"/>
              <w:start w:w="110" w:type="dxa"/>
              <w:bottom w:w="90" w:type="dxa"/>
              <w:end w:w="110" w:type="dxa"/>
            </w:tcMar>
            <w:shd w:fill="EEF3F7"/>
          </w:tcPr>
          <w:p>
            <w:pPr>
              <w:spacing w:after="0"/>
            </w:pPr>
            <w:r/>
            <w:r>
              <w:rPr>
                <w:rFonts w:ascii="Arial" w:hAnsi="Arial"/>
                <w:b w:val="0"/>
                <w:color w:val="111111"/>
                <w:sz w:val="16"/>
              </w:rPr>
              <w:t>Progress index</w:t>
            </w:r>
          </w:p>
        </w:tc>
        <w:tc>
          <w:tcPr>
            <w:tcW w:type="dxa" w:w="5904"/>
            <w:vAlign w:val="center"/>
            <w:tcMar>
              <w:top w:w="90" w:type="dxa"/>
              <w:start w:w="110" w:type="dxa"/>
              <w:bottom w:w="90" w:type="dxa"/>
              <w:end w:w="110" w:type="dxa"/>
            </w:tcMar>
            <w:shd w:fill="EEF3F7"/>
          </w:tcPr>
          <w:p>
            <w:pPr>
              <w:spacing w:after="0"/>
            </w:pPr>
            <w:r/>
            <w:r>
              <w:rPr>
                <w:rFonts w:ascii="Arial" w:hAnsi="Arial"/>
                <w:b w:val="0"/>
                <w:color w:val="111111"/>
                <w:sz w:val="16"/>
              </w:rPr>
              <w:t>Approval rate multiplied by normalized first-semester grade</w:t>
            </w:r>
          </w:p>
        </w:tc>
      </w:tr>
      <w:tr>
        <w:tc>
          <w:tcPr>
            <w:tcW w:type="dxa" w:w="3168"/>
            <w:vAlign w:val="center"/>
            <w:tcMar>
              <w:top w:w="90" w:type="dxa"/>
              <w:start w:w="110" w:type="dxa"/>
              <w:bottom w:w="90" w:type="dxa"/>
              <w:end w:w="110" w:type="dxa"/>
            </w:tcMar>
          </w:tcPr>
          <w:p>
            <w:pPr>
              <w:spacing w:after="0"/>
            </w:pPr>
            <w:r/>
            <w:r>
              <w:rPr>
                <w:rFonts w:ascii="Arial" w:hAnsi="Arial"/>
                <w:b w:val="0"/>
                <w:color w:val="111111"/>
                <w:sz w:val="16"/>
              </w:rPr>
              <w:t>Academic preparation gap</w:t>
            </w:r>
          </w:p>
        </w:tc>
        <w:tc>
          <w:tcPr>
            <w:tcW w:type="dxa" w:w="5904"/>
            <w:vAlign w:val="center"/>
            <w:tcMar>
              <w:top w:w="90" w:type="dxa"/>
              <w:start w:w="110" w:type="dxa"/>
              <w:bottom w:w="90" w:type="dxa"/>
              <w:end w:w="110" w:type="dxa"/>
            </w:tcMar>
          </w:tcPr>
          <w:p>
            <w:pPr>
              <w:spacing w:after="0"/>
            </w:pPr>
            <w:r/>
            <w:r>
              <w:rPr>
                <w:rFonts w:ascii="Arial" w:hAnsi="Arial"/>
                <w:b w:val="0"/>
                <w:color w:val="111111"/>
                <w:sz w:val="16"/>
              </w:rPr>
              <w:t>Admission grade minus previous qualification grade</w:t>
            </w:r>
          </w:p>
        </w:tc>
      </w:tr>
      <w:tr>
        <w:tc>
          <w:tcPr>
            <w:tcW w:type="dxa" w:w="3168"/>
            <w:vAlign w:val="center"/>
            <w:tcMar>
              <w:top w:w="90" w:type="dxa"/>
              <w:start w:w="110" w:type="dxa"/>
              <w:bottom w:w="90" w:type="dxa"/>
              <w:end w:w="110" w:type="dxa"/>
            </w:tcMar>
            <w:shd w:fill="EEF3F7"/>
          </w:tcPr>
          <w:p>
            <w:pPr>
              <w:spacing w:after="0"/>
            </w:pPr>
            <w:r/>
            <w:r>
              <w:rPr>
                <w:rFonts w:ascii="Arial" w:hAnsi="Arial"/>
                <w:b w:val="0"/>
                <w:color w:val="111111"/>
                <w:sz w:val="16"/>
              </w:rPr>
              <w:t>No-enrollment flag</w:t>
            </w:r>
          </w:p>
        </w:tc>
        <w:tc>
          <w:tcPr>
            <w:tcW w:type="dxa" w:w="5904"/>
            <w:vAlign w:val="center"/>
            <w:tcMar>
              <w:top w:w="90" w:type="dxa"/>
              <w:start w:w="110" w:type="dxa"/>
              <w:bottom w:w="90" w:type="dxa"/>
              <w:end w:w="110" w:type="dxa"/>
            </w:tcMar>
            <w:shd w:fill="EEF3F7"/>
          </w:tcPr>
          <w:p>
            <w:pPr>
              <w:spacing w:after="0"/>
            </w:pPr>
            <w:r/>
            <w:r>
              <w:rPr>
                <w:rFonts w:ascii="Arial" w:hAnsi="Arial"/>
                <w:b w:val="0"/>
                <w:color w:val="111111"/>
                <w:sz w:val="16"/>
              </w:rPr>
              <w:t>Marks records with no first-semester enrolled units</w:t>
            </w:r>
          </w:p>
        </w:tc>
      </w:tr>
      <w:tr>
        <w:tc>
          <w:tcPr>
            <w:tcW w:type="dxa" w:w="3168"/>
            <w:vAlign w:val="center"/>
            <w:tcMar>
              <w:top w:w="90" w:type="dxa"/>
              <w:start w:w="110" w:type="dxa"/>
              <w:bottom w:w="90" w:type="dxa"/>
              <w:end w:w="110" w:type="dxa"/>
            </w:tcMar>
          </w:tcPr>
          <w:p>
            <w:pPr>
              <w:spacing w:after="0"/>
            </w:pPr>
            <w:r/>
            <w:r>
              <w:rPr>
                <w:rFonts w:ascii="Arial" w:hAnsi="Arial"/>
                <w:b w:val="0"/>
                <w:color w:val="111111"/>
                <w:sz w:val="16"/>
              </w:rPr>
              <w:t>First-choice flag</w:t>
            </w:r>
          </w:p>
        </w:tc>
        <w:tc>
          <w:tcPr>
            <w:tcW w:type="dxa" w:w="5904"/>
            <w:vAlign w:val="center"/>
            <w:tcMar>
              <w:top w:w="90" w:type="dxa"/>
              <w:start w:w="110" w:type="dxa"/>
              <w:bottom w:w="90" w:type="dxa"/>
              <w:end w:w="110" w:type="dxa"/>
            </w:tcMar>
          </w:tcPr>
          <w:p>
            <w:pPr>
              <w:spacing w:after="0"/>
            </w:pPr>
            <w:r/>
            <w:r>
              <w:rPr>
                <w:rFonts w:ascii="Arial" w:hAnsi="Arial"/>
                <w:b w:val="0"/>
                <w:color w:val="111111"/>
                <w:sz w:val="16"/>
              </w:rPr>
              <w:t>Marks first-choice application order</w:t>
            </w:r>
          </w:p>
        </w:tc>
      </w:tr>
      <w:tr>
        <w:tc>
          <w:tcPr>
            <w:tcW w:type="dxa" w:w="3168"/>
            <w:vAlign w:val="center"/>
            <w:tcMar>
              <w:top w:w="90" w:type="dxa"/>
              <w:start w:w="110" w:type="dxa"/>
              <w:bottom w:w="90" w:type="dxa"/>
              <w:end w:w="110" w:type="dxa"/>
            </w:tcMar>
            <w:shd w:fill="EEF3F7"/>
          </w:tcPr>
          <w:p>
            <w:pPr>
              <w:spacing w:after="0"/>
            </w:pPr>
            <w:r/>
            <w:r>
              <w:rPr>
                <w:rFonts w:ascii="Arial" w:hAnsi="Arial"/>
                <w:b w:val="0"/>
                <w:color w:val="111111"/>
                <w:sz w:val="16"/>
              </w:rPr>
              <w:t>Financial-risk flag</w:t>
            </w:r>
          </w:p>
        </w:tc>
        <w:tc>
          <w:tcPr>
            <w:tcW w:type="dxa" w:w="5904"/>
            <w:vAlign w:val="center"/>
            <w:tcMar>
              <w:top w:w="90" w:type="dxa"/>
              <w:start w:w="110" w:type="dxa"/>
              <w:bottom w:w="90" w:type="dxa"/>
              <w:end w:w="110" w:type="dxa"/>
            </w:tcMar>
            <w:shd w:fill="EEF3F7"/>
          </w:tcPr>
          <w:p>
            <w:pPr>
              <w:spacing w:after="0"/>
            </w:pPr>
            <w:r/>
            <w:r>
              <w:rPr>
                <w:rFonts w:ascii="Arial" w:hAnsi="Arial"/>
                <w:b w:val="0"/>
                <w:color w:val="111111"/>
                <w:sz w:val="16"/>
              </w:rPr>
              <w:t>Combines debtor status or tuition not current</w:t>
            </w:r>
          </w:p>
        </w:tc>
      </w:tr>
      <w:tr>
        <w:tc>
          <w:tcPr>
            <w:tcW w:type="dxa" w:w="3168"/>
            <w:vAlign w:val="center"/>
            <w:tcMar>
              <w:top w:w="90" w:type="dxa"/>
              <w:start w:w="110" w:type="dxa"/>
              <w:bottom w:w="90" w:type="dxa"/>
              <w:end w:w="110" w:type="dxa"/>
            </w:tcMar>
          </w:tcPr>
          <w:p>
            <w:pPr>
              <w:spacing w:after="0"/>
            </w:pPr>
            <w:r/>
            <w:r>
              <w:rPr>
                <w:rFonts w:ascii="Arial" w:hAnsi="Arial"/>
                <w:b w:val="0"/>
                <w:color w:val="111111"/>
                <w:sz w:val="16"/>
              </w:rPr>
              <w:t>Nontraditional-age flag</w:t>
            </w:r>
          </w:p>
        </w:tc>
        <w:tc>
          <w:tcPr>
            <w:tcW w:type="dxa" w:w="5904"/>
            <w:vAlign w:val="center"/>
            <w:tcMar>
              <w:top w:w="90" w:type="dxa"/>
              <w:start w:w="110" w:type="dxa"/>
              <w:bottom w:w="90" w:type="dxa"/>
              <w:end w:w="110" w:type="dxa"/>
            </w:tcMar>
          </w:tcPr>
          <w:p>
            <w:pPr>
              <w:spacing w:after="0"/>
            </w:pPr>
            <w:r/>
            <w:r>
              <w:rPr>
                <w:rFonts w:ascii="Arial" w:hAnsi="Arial"/>
                <w:b w:val="0"/>
                <w:color w:val="111111"/>
                <w:sz w:val="16"/>
              </w:rPr>
              <w:t>Marks age 25 or older for descriptive audit only</w:t>
            </w:r>
          </w:p>
        </w:tc>
      </w:tr>
    </w:tbl>
    <w:p>
      <w:pPr>
        <w:spacing w:after="0"/>
      </w:pPr>
    </w:p>
    <w:p>
      <w:pPr>
        <w:pStyle w:val="Heading2"/>
      </w:pPr>
      <w:r>
        <w:t>Feature screening and dimensionality</w:t>
      </w:r>
    </w:p>
    <w:p>
      <w:r>
        <w:t>The primary prediction dataset contains 30 original first-semester predictors and nine engineered features. After audit-only demographic fields were removed, the model used 31 source columns. One-hot encoding produced 125 transformed features. Mutual information and a diagnostic Extra Trees model supported a 30-feature screening option, which Task 4 compared with using all encoded features inside cross-validation.</w:t>
      </w:r>
    </w:p>
    <w:p>
      <w:r>
        <w:t>Principal component analysis required 61 components to explain 80% of variance, 75 for 90%, and 84 for 95%. The first two components explained only 9.4%, so PCA was retained as a diagnostic artifact rather than the default modeling path.</w:t>
      </w:r>
    </w:p>
    <w:p>
      <w:pPr>
        <w:pStyle w:val="Heading1"/>
      </w:pPr>
      <w:r>
        <w:t>4  Model implementation and evaluation</w:t>
      </w:r>
    </w:p>
    <w:p>
      <w:pPr>
        <w:pStyle w:val="Heading2"/>
      </w:pPr>
      <w:r>
        <w:t>Experimental design</w:t>
      </w:r>
    </w:p>
    <w:p>
      <w:r>
        <w:t>Task 4 compared a dummy prior baseline with Logistic Regression, Decision Tree, Random Forest, and Histogram Gradient Boosting. Each candidate used an end-to-end pipeline for imputation, categorical encoding, numeric scaling, optional feature selection, and classification. Five-fold stratified cross-validation and grid search used the development set only.</w:t>
      </w:r>
    </w:p>
    <w:p>
      <w:pPr>
        <w:keepNext/>
        <w:jc w:val="center"/>
      </w:pPr>
      <w:r>
        <w:drawing>
          <wp:inline xmlns:a="http://schemas.openxmlformats.org/drawingml/2006/main" xmlns:pic="http://schemas.openxmlformats.org/drawingml/2006/picture">
            <wp:extent cx="5989320" cy="2516499"/>
            <wp:docPr id="3" name="Picture 3"/>
            <wp:cNvGraphicFramePr>
              <a:graphicFrameLocks noChangeAspect="1"/>
            </wp:cNvGraphicFramePr>
            <a:graphic>
              <a:graphicData uri="http://schemas.openxmlformats.org/drawingml/2006/picture">
                <pic:pic>
                  <pic:nvPicPr>
                    <pic:cNvPr id="0" name="01_cross_validated_model_comparison.png"/>
                    <pic:cNvPicPr/>
                  </pic:nvPicPr>
                  <pic:blipFill>
                    <a:blip r:embed="rId13"/>
                    <a:stretch>
                      <a:fillRect/>
                    </a:stretch>
                  </pic:blipFill>
                  <pic:spPr>
                    <a:xfrm>
                      <a:off x="0" y="0"/>
                      <a:ext cx="5989320" cy="2516499"/>
                    </a:xfrm>
                    <a:prstGeom prst="rect"/>
                  </pic:spPr>
                </pic:pic>
              </a:graphicData>
            </a:graphic>
          </wp:inline>
        </w:drawing>
      </w:r>
    </w:p>
    <w:p>
      <w:pPr>
        <w:pStyle w:val="CaptionCompact"/>
        <w:jc w:val="center"/>
      </w:pPr>
      <w:r>
        <w:t>Figure 3. Five-fold cross-validated model comparison on the development partition.</w:t>
      </w:r>
    </w:p>
    <w:p>
      <w:r>
        <w:t>Random Forest produced the highest cross-validated dropout F2 and was selected according to the predefined dropout-focused objective. Logistic Regression showed a slightly stronger macro F1, which demonstrates that model choice depends on the decision objective rather than a single universal score.</w:t>
      </w:r>
    </w:p>
    <w:p>
      <w:pPr>
        <w:pStyle w:val="Heading2"/>
      </w:pPr>
      <w:r>
        <w:t>Threshold selection</w:t>
      </w:r>
    </w:p>
    <w:p>
      <w:r>
        <w:t>The alert threshold was selected from out-of-fold training probabilities. Among thresholds satisfying at least 75% dropout recall and 50% precision, 0.23 maximized dropout F2. No held-out test information influenced this choice. The threshold changes the alert decision while retaining the same underlying three-class probabilities.</w:t>
      </w:r>
    </w:p>
    <w:p>
      <w:pPr>
        <w:keepNext/>
        <w:jc w:val="center"/>
      </w:pPr>
      <w:r>
        <w:drawing>
          <wp:inline xmlns:a="http://schemas.openxmlformats.org/drawingml/2006/main" xmlns:pic="http://schemas.openxmlformats.org/drawingml/2006/picture">
            <wp:extent cx="5806440" cy="3439881"/>
            <wp:docPr id="4" name="Picture 4"/>
            <wp:cNvGraphicFramePr>
              <a:graphicFrameLocks noChangeAspect="1"/>
            </wp:cNvGraphicFramePr>
            <a:graphic>
              <a:graphicData uri="http://schemas.openxmlformats.org/drawingml/2006/picture">
                <pic:pic>
                  <pic:nvPicPr>
                    <pic:cNvPr id="0" name="02_threshold_tradeoff.png"/>
                    <pic:cNvPicPr/>
                  </pic:nvPicPr>
                  <pic:blipFill>
                    <a:blip r:embed="rId14"/>
                    <a:stretch>
                      <a:fillRect/>
                    </a:stretch>
                  </pic:blipFill>
                  <pic:spPr>
                    <a:xfrm>
                      <a:off x="0" y="0"/>
                      <a:ext cx="5806440" cy="3439881"/>
                    </a:xfrm>
                    <a:prstGeom prst="rect"/>
                  </pic:spPr>
                </pic:pic>
              </a:graphicData>
            </a:graphic>
          </wp:inline>
        </w:drawing>
      </w:r>
    </w:p>
    <w:p>
      <w:pPr>
        <w:pStyle w:val="CaptionCompact"/>
        <w:jc w:val="center"/>
      </w:pPr>
      <w:r>
        <w:t>Figure 4. Training-only threshold trade-off using out-of-fold probabilities.</w:t>
      </w:r>
    </w:p>
    <w:p>
      <w:pPr>
        <w:pStyle w:val="Heading2"/>
      </w:pPr>
      <w:r>
        <w:t>Held-out performance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EAF4F3"/>
            <w:tcMar>
              <w:top w:w="130" w:type="dxa"/>
              <w:start w:w="120" w:type="dxa"/>
              <w:bottom w:w="130" w:type="dxa"/>
              <w:end w:w="120" w:type="dxa"/>
            </w:tcMar>
          </w:tcPr>
          <w:p>
            <w:pPr>
              <w:spacing w:after="40"/>
              <w:jc w:val="center"/>
            </w:pPr>
            <w:r/>
            <w:r>
              <w:rPr>
                <w:rFonts w:ascii="Arial" w:hAnsi="Arial"/>
                <w:b/>
                <w:color w:val="157F78"/>
                <w:sz w:val="34"/>
              </w:rPr>
              <w:t>83.8%</w:t>
            </w:r>
          </w:p>
          <w:p>
            <w:pPr>
              <w:spacing w:after="0"/>
              <w:jc w:val="center"/>
            </w:pPr>
            <w:r>
              <w:rPr>
                <w:rFonts w:ascii="Arial" w:hAnsi="Arial"/>
                <w:color w:val="66788A"/>
                <w:sz w:val="15"/>
              </w:rPr>
              <w:t>DROPOUT RECALL</w:t>
            </w:r>
          </w:p>
        </w:tc>
        <w:tc>
          <w:tcPr>
            <w:tcW w:type="dxa" w:w="2541"/>
            <w:shd w:fill="EEF3F7"/>
            <w:tcMar>
              <w:top w:w="130" w:type="dxa"/>
              <w:start w:w="120" w:type="dxa"/>
              <w:bottom w:w="130" w:type="dxa"/>
              <w:end w:w="120" w:type="dxa"/>
            </w:tcMar>
          </w:tcPr>
          <w:p>
            <w:pPr>
              <w:spacing w:after="40"/>
              <w:jc w:val="center"/>
            </w:pPr>
            <w:r/>
            <w:r>
              <w:rPr>
                <w:rFonts w:ascii="Arial" w:hAnsi="Arial"/>
                <w:b/>
                <w:color w:val="157F78"/>
                <w:sz w:val="34"/>
              </w:rPr>
              <w:t>62.6%</w:t>
            </w:r>
          </w:p>
          <w:p>
            <w:pPr>
              <w:spacing w:after="0"/>
              <w:jc w:val="center"/>
            </w:pPr>
            <w:r>
              <w:rPr>
                <w:rFonts w:ascii="Arial" w:hAnsi="Arial"/>
                <w:color w:val="66788A"/>
                <w:sz w:val="15"/>
              </w:rPr>
              <w:t>DROPOUT PRECISION</w:t>
            </w:r>
          </w:p>
        </w:tc>
        <w:tc>
          <w:tcPr>
            <w:tcW w:type="dxa" w:w="2541"/>
            <w:shd w:fill="EAF4F3"/>
            <w:tcMar>
              <w:top w:w="130" w:type="dxa"/>
              <w:start w:w="120" w:type="dxa"/>
              <w:bottom w:w="130" w:type="dxa"/>
              <w:end w:w="120" w:type="dxa"/>
            </w:tcMar>
          </w:tcPr>
          <w:p>
            <w:pPr>
              <w:spacing w:after="40"/>
              <w:jc w:val="center"/>
            </w:pPr>
            <w:r/>
            <w:r>
              <w:rPr>
                <w:rFonts w:ascii="Arial" w:hAnsi="Arial"/>
                <w:b/>
                <w:color w:val="157F78"/>
                <w:sz w:val="34"/>
              </w:rPr>
              <w:t>78.5%</w:t>
            </w:r>
          </w:p>
          <w:p>
            <w:pPr>
              <w:spacing w:after="0"/>
              <w:jc w:val="center"/>
            </w:pPr>
            <w:r>
              <w:rPr>
                <w:rFonts w:ascii="Arial" w:hAnsi="Arial"/>
                <w:color w:val="66788A"/>
                <w:sz w:val="15"/>
              </w:rPr>
              <w:t>DROPOUT F2</w:t>
            </w:r>
          </w:p>
        </w:tc>
        <w:tc>
          <w:tcPr>
            <w:tcW w:type="dxa" w:w="2541"/>
            <w:shd w:fill="EEF3F7"/>
            <w:tcMar>
              <w:top w:w="130" w:type="dxa"/>
              <w:start w:w="120" w:type="dxa"/>
              <w:bottom w:w="130" w:type="dxa"/>
              <w:end w:w="120" w:type="dxa"/>
            </w:tcMar>
          </w:tcPr>
          <w:p>
            <w:pPr>
              <w:spacing w:after="40"/>
              <w:jc w:val="center"/>
            </w:pPr>
            <w:r/>
            <w:r>
              <w:rPr>
                <w:rFonts w:ascii="Arial" w:hAnsi="Arial"/>
                <w:b/>
                <w:color w:val="157F78"/>
                <w:sz w:val="34"/>
              </w:rPr>
              <w:t>70.4%</w:t>
            </w:r>
          </w:p>
          <w:p>
            <w:pPr>
              <w:spacing w:after="0"/>
              <w:jc w:val="center"/>
            </w:pPr>
            <w:r>
              <w:rPr>
                <w:rFonts w:ascii="Arial" w:hAnsi="Arial"/>
                <w:color w:val="66788A"/>
                <w:sz w:val="15"/>
              </w:rPr>
              <w:t>OVERALL ACCURACY</w:t>
            </w:r>
          </w:p>
        </w:tc>
      </w:tr>
    </w:tbl>
    <w:p>
      <w:pPr>
        <w:spacing w:after="20"/>
      </w:pPr>
    </w:p>
    <w:p>
      <w:r>
        <w:t>The thresholded alert found 238 of 284 held-out dropouts and generated 142 false-positive alerts. This trade-off is consistent with the support objective: recall increases relative to default argmax prediction, while precision and overall multiclass accuracy decrease. False positives still matter, so outreach should remain low burden and supportive.</w:t>
      </w:r>
    </w:p>
    <w:p>
      <w:pPr>
        <w:keepNext/>
        <w:jc w:val="center"/>
      </w:pPr>
      <w:r>
        <w:drawing>
          <wp:inline xmlns:a="http://schemas.openxmlformats.org/drawingml/2006/main" xmlns:pic="http://schemas.openxmlformats.org/drawingml/2006/picture">
            <wp:extent cx="5989320" cy="2518679"/>
            <wp:docPr id="5" name="Picture 5"/>
            <wp:cNvGraphicFramePr>
              <a:graphicFrameLocks noChangeAspect="1"/>
            </wp:cNvGraphicFramePr>
            <a:graphic>
              <a:graphicData uri="http://schemas.openxmlformats.org/drawingml/2006/picture">
                <pic:pic>
                  <pic:nvPicPr>
                    <pic:cNvPr id="0" name="05_heldout_capacity_and_calibration.png"/>
                    <pic:cNvPicPr/>
                  </pic:nvPicPr>
                  <pic:blipFill>
                    <a:blip r:embed="rId15"/>
                    <a:stretch>
                      <a:fillRect/>
                    </a:stretch>
                  </pic:blipFill>
                  <pic:spPr>
                    <a:xfrm>
                      <a:off x="0" y="0"/>
                      <a:ext cx="5989320" cy="2518679"/>
                    </a:xfrm>
                    <a:prstGeom prst="rect"/>
                  </pic:spPr>
                </pic:pic>
              </a:graphicData>
            </a:graphic>
          </wp:inline>
        </w:drawing>
      </w:r>
    </w:p>
    <w:p>
      <w:pPr>
        <w:pStyle w:val="CaptionCompact"/>
        <w:jc w:val="center"/>
      </w:pPr>
      <w:r>
        <w:t>Figure 5. Held-out capacity ranking and probability calibration diagnostics.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464"/>
            <w:vAlign w:val="center"/>
            <w:tcMar>
              <w:top w:w="90" w:type="dxa"/>
              <w:start w:w="110" w:type="dxa"/>
              <w:bottom w:w="90" w:type="dxa"/>
              <w:end w:w="110" w:type="dxa"/>
            </w:tcMar>
            <w:shd w:fill="17324D"/>
          </w:tcPr>
          <w:p>
            <w:pPr>
              <w:spacing w:after="0"/>
            </w:pPr>
            <w:r/>
            <w:r>
              <w:rPr>
                <w:rFonts w:ascii="Arial" w:hAnsi="Arial"/>
                <w:b/>
                <w:color w:val="FFFFFF"/>
                <w:sz w:val="17"/>
              </w:rPr>
              <w:t>Capacity result</w:t>
            </w:r>
          </w:p>
        </w:tc>
        <w:tc>
          <w:tcPr>
            <w:tcW w:type="dxa" w:w="4608"/>
            <w:vAlign w:val="center"/>
            <w:tcMar>
              <w:top w:w="90" w:type="dxa"/>
              <w:start w:w="110" w:type="dxa"/>
              <w:bottom w:w="90" w:type="dxa"/>
              <w:end w:w="110" w:type="dxa"/>
            </w:tcMar>
            <w:shd w:fill="17324D"/>
          </w:tcPr>
          <w:p>
            <w:pPr>
              <w:spacing w:after="0"/>
            </w:pPr>
            <w:r/>
            <w:r>
              <w:rPr>
                <w:rFonts w:ascii="Arial" w:hAnsi="Arial"/>
                <w:b/>
                <w:color w:val="FFFFFF"/>
                <w:sz w:val="17"/>
              </w:rPr>
              <w:t>Held-out value</w:t>
            </w:r>
          </w:p>
        </w:tc>
      </w:tr>
      <w:tr>
        <w:tc>
          <w:tcPr>
            <w:tcW w:type="dxa" w:w="4464"/>
            <w:vAlign w:val="center"/>
            <w:tcMar>
              <w:top w:w="90" w:type="dxa"/>
              <w:start w:w="110" w:type="dxa"/>
              <w:bottom w:w="90" w:type="dxa"/>
              <w:end w:w="110" w:type="dxa"/>
            </w:tcMar>
          </w:tcPr>
          <w:p>
            <w:pPr>
              <w:spacing w:after="0"/>
            </w:pPr>
            <w:r/>
            <w:r>
              <w:rPr>
                <w:rFonts w:ascii="Arial" w:hAnsi="Arial"/>
                <w:b w:val="0"/>
                <w:color w:val="111111"/>
                <w:sz w:val="16"/>
              </w:rPr>
              <w:t>Review list</w:t>
            </w:r>
          </w:p>
        </w:tc>
        <w:tc>
          <w:tcPr>
            <w:tcW w:type="dxa" w:w="4608"/>
            <w:vAlign w:val="center"/>
            <w:tcMar>
              <w:top w:w="90" w:type="dxa"/>
              <w:start w:w="110" w:type="dxa"/>
              <w:bottom w:w="90" w:type="dxa"/>
              <w:end w:w="110" w:type="dxa"/>
            </w:tcMar>
          </w:tcPr>
          <w:p>
            <w:pPr>
              <w:spacing w:after="0"/>
            </w:pPr>
            <w:r/>
            <w:r>
              <w:rPr>
                <w:rFonts w:ascii="Arial" w:hAnsi="Arial"/>
                <w:b w:val="0"/>
                <w:color w:val="111111"/>
                <w:sz w:val="16"/>
              </w:rPr>
              <w:t>266 of 885 students</w:t>
            </w:r>
          </w:p>
        </w:tc>
      </w:tr>
      <w:tr>
        <w:tc>
          <w:tcPr>
            <w:tcW w:type="dxa" w:w="4464"/>
            <w:vAlign w:val="center"/>
            <w:tcMar>
              <w:top w:w="90" w:type="dxa"/>
              <w:start w:w="110" w:type="dxa"/>
              <w:bottom w:w="90" w:type="dxa"/>
              <w:end w:w="110" w:type="dxa"/>
            </w:tcMar>
            <w:shd w:fill="EEF3F7"/>
          </w:tcPr>
          <w:p>
            <w:pPr>
              <w:spacing w:after="0"/>
            </w:pPr>
            <w:r/>
            <w:r>
              <w:rPr>
                <w:rFonts w:ascii="Arial" w:hAnsi="Arial"/>
                <w:b w:val="0"/>
                <w:color w:val="111111"/>
                <w:sz w:val="16"/>
              </w:rPr>
              <w:t>Dropouts captured</w:t>
            </w:r>
          </w:p>
        </w:tc>
        <w:tc>
          <w:tcPr>
            <w:tcW w:type="dxa" w:w="4608"/>
            <w:vAlign w:val="center"/>
            <w:tcMar>
              <w:top w:w="90" w:type="dxa"/>
              <w:start w:w="110" w:type="dxa"/>
              <w:bottom w:w="90" w:type="dxa"/>
              <w:end w:w="110" w:type="dxa"/>
            </w:tcMar>
            <w:shd w:fill="EEF3F7"/>
          </w:tcPr>
          <w:p>
            <w:pPr>
              <w:spacing w:after="0"/>
            </w:pPr>
            <w:r/>
            <w:r>
              <w:rPr>
                <w:rFonts w:ascii="Arial" w:hAnsi="Arial"/>
                <w:b w:val="0"/>
                <w:color w:val="111111"/>
                <w:sz w:val="16"/>
              </w:rPr>
              <w:t>207 of 284</w:t>
            </w:r>
          </w:p>
        </w:tc>
      </w:tr>
      <w:tr>
        <w:tc>
          <w:tcPr>
            <w:tcW w:type="dxa" w:w="4464"/>
            <w:vAlign w:val="center"/>
            <w:tcMar>
              <w:top w:w="90" w:type="dxa"/>
              <w:start w:w="110" w:type="dxa"/>
              <w:bottom w:w="90" w:type="dxa"/>
              <w:end w:w="110" w:type="dxa"/>
            </w:tcMar>
          </w:tcPr>
          <w:p>
            <w:pPr>
              <w:spacing w:after="0"/>
            </w:pPr>
            <w:r/>
            <w:r>
              <w:rPr>
                <w:rFonts w:ascii="Arial" w:hAnsi="Arial"/>
                <w:b w:val="0"/>
                <w:color w:val="111111"/>
                <w:sz w:val="16"/>
              </w:rPr>
              <w:t>Dropout capture rate</w:t>
            </w:r>
          </w:p>
        </w:tc>
        <w:tc>
          <w:tcPr>
            <w:tcW w:type="dxa" w:w="4608"/>
            <w:vAlign w:val="center"/>
            <w:tcMar>
              <w:top w:w="90" w:type="dxa"/>
              <w:start w:w="110" w:type="dxa"/>
              <w:bottom w:w="90" w:type="dxa"/>
              <w:end w:w="110" w:type="dxa"/>
            </w:tcMar>
          </w:tcPr>
          <w:p>
            <w:pPr>
              <w:spacing w:after="0"/>
            </w:pPr>
            <w:r/>
            <w:r>
              <w:rPr>
                <w:rFonts w:ascii="Arial" w:hAnsi="Arial"/>
                <w:b w:val="0"/>
                <w:color w:val="111111"/>
                <w:sz w:val="16"/>
              </w:rPr>
              <w:t>72.9%</w:t>
            </w:r>
          </w:p>
        </w:tc>
      </w:tr>
      <w:tr>
        <w:tc>
          <w:tcPr>
            <w:tcW w:type="dxa" w:w="4464"/>
            <w:vAlign w:val="center"/>
            <w:tcMar>
              <w:top w:w="90" w:type="dxa"/>
              <w:start w:w="110" w:type="dxa"/>
              <w:bottom w:w="90" w:type="dxa"/>
              <w:end w:w="110" w:type="dxa"/>
            </w:tcMar>
            <w:shd w:fill="EEF3F7"/>
          </w:tcPr>
          <w:p>
            <w:pPr>
              <w:spacing w:after="0"/>
            </w:pPr>
            <w:r/>
            <w:r>
              <w:rPr>
                <w:rFonts w:ascii="Arial" w:hAnsi="Arial"/>
                <w:b w:val="0"/>
                <w:color w:val="111111"/>
                <w:sz w:val="16"/>
              </w:rPr>
              <w:t>Precision at capacity</w:t>
            </w:r>
          </w:p>
        </w:tc>
        <w:tc>
          <w:tcPr>
            <w:tcW w:type="dxa" w:w="4608"/>
            <w:vAlign w:val="center"/>
            <w:tcMar>
              <w:top w:w="90" w:type="dxa"/>
              <w:start w:w="110" w:type="dxa"/>
              <w:bottom w:w="90" w:type="dxa"/>
              <w:end w:w="110" w:type="dxa"/>
            </w:tcMar>
            <w:shd w:fill="EEF3F7"/>
          </w:tcPr>
          <w:p>
            <w:pPr>
              <w:spacing w:after="0"/>
            </w:pPr>
            <w:r/>
            <w:r>
              <w:rPr>
                <w:rFonts w:ascii="Arial" w:hAnsi="Arial"/>
                <w:b w:val="0"/>
                <w:color w:val="111111"/>
                <w:sz w:val="16"/>
              </w:rPr>
              <w:t>77.8%</w:t>
            </w:r>
          </w:p>
        </w:tc>
      </w:tr>
      <w:tr>
        <w:tc>
          <w:tcPr>
            <w:tcW w:type="dxa" w:w="4464"/>
            <w:vAlign w:val="center"/>
            <w:tcMar>
              <w:top w:w="90" w:type="dxa"/>
              <w:start w:w="110" w:type="dxa"/>
              <w:bottom w:w="90" w:type="dxa"/>
              <w:end w:w="110" w:type="dxa"/>
            </w:tcMar>
          </w:tcPr>
          <w:p>
            <w:pPr>
              <w:spacing w:after="0"/>
            </w:pPr>
            <w:r/>
            <w:r>
              <w:rPr>
                <w:rFonts w:ascii="Arial" w:hAnsi="Arial"/>
                <w:b w:val="0"/>
                <w:color w:val="111111"/>
                <w:sz w:val="16"/>
              </w:rPr>
              <w:t>Lift over random selection</w:t>
            </w:r>
          </w:p>
        </w:tc>
        <w:tc>
          <w:tcPr>
            <w:tcW w:type="dxa" w:w="4608"/>
            <w:vAlign w:val="center"/>
            <w:tcMar>
              <w:top w:w="90" w:type="dxa"/>
              <w:start w:w="110" w:type="dxa"/>
              <w:bottom w:w="90" w:type="dxa"/>
              <w:end w:w="110" w:type="dxa"/>
            </w:tcMar>
          </w:tcPr>
          <w:p>
            <w:pPr>
              <w:spacing w:after="0"/>
            </w:pPr>
            <w:r/>
            <w:r>
              <w:rPr>
                <w:rFonts w:ascii="Arial" w:hAnsi="Arial"/>
                <w:b w:val="0"/>
                <w:color w:val="111111"/>
                <w:sz w:val="16"/>
              </w:rPr>
              <w:t>2.43 times</w:t>
            </w:r>
          </w:p>
        </w:tc>
      </w:tr>
    </w:tbl>
    <w:p>
      <w:pPr>
        <w:spacing w:after="0"/>
      </w:pPr>
    </w:p>
    <w:p>
      <w:pPr>
        <w:pStyle w:val="Heading2"/>
      </w:pPr>
      <w:r>
        <w:t>Interpretation</w:t>
      </w:r>
    </w:p>
    <w:p>
      <w:r>
        <w:t>The model met all three predefined held-out criteria. The result supports continued evaluation, not unrestricted deployment. The test set is a single historical split from the same institution, and the probability calibration chart indicates additional calibration work before a risk score is presented as an absolute likelihood.</w:t>
      </w:r>
    </w:p>
    <w:p>
      <w:pPr>
        <w:pStyle w:val="Heading1"/>
      </w:pPr>
      <w:r>
        <w:t>5  Explainability, ethical AI, and fairness</w:t>
      </w:r>
    </w:p>
    <w:p>
      <w:pPr>
        <w:pStyle w:val="Heading2"/>
      </w:pPr>
      <w:r>
        <w:t>Global and local explanations</w:t>
      </w:r>
    </w:p>
    <w:p>
      <w:r>
        <w:t>Tree SHAP was calculated for all 885 held-out records. The largest grouped contributors were first-semester progress index, approval rate, tuition status, approved units, and the financial-risk flag. Local examples cover a true positive, false positive, and false negative. SHAP explains how the model produced a score; it does not show why a student leaves or what intervention will change the outcome.</w:t>
      </w:r>
    </w:p>
    <w:p>
      <w:pPr>
        <w:keepNext/>
        <w:jc w:val="center"/>
      </w:pPr>
      <w:r>
        <w:drawing>
          <wp:inline xmlns:a="http://schemas.openxmlformats.org/drawingml/2006/main" xmlns:pic="http://schemas.openxmlformats.org/drawingml/2006/picture">
            <wp:extent cx="5989320" cy="4152956"/>
            <wp:docPr id="6" name="Picture 6"/>
            <wp:cNvGraphicFramePr>
              <a:graphicFrameLocks noChangeAspect="1"/>
            </wp:cNvGraphicFramePr>
            <a:graphic>
              <a:graphicData uri="http://schemas.openxmlformats.org/drawingml/2006/picture">
                <pic:pic>
                  <pic:nvPicPr>
                    <pic:cNvPr id="0" name="01_shap_global_importance.png"/>
                    <pic:cNvPicPr/>
                  </pic:nvPicPr>
                  <pic:blipFill>
                    <a:blip r:embed="rId16"/>
                    <a:stretch>
                      <a:fillRect/>
                    </a:stretch>
                  </pic:blipFill>
                  <pic:spPr>
                    <a:xfrm>
                      <a:off x="0" y="0"/>
                      <a:ext cx="5989320" cy="4152956"/>
                    </a:xfrm>
                    <a:prstGeom prst="rect"/>
                  </pic:spPr>
                </pic:pic>
              </a:graphicData>
            </a:graphic>
          </wp:inline>
        </w:drawing>
      </w:r>
    </w:p>
    <w:p>
      <w:pPr>
        <w:pStyle w:val="CaptionCompact"/>
        <w:jc w:val="center"/>
      </w:pPr>
      <w:r>
        <w:t>Figure 6. Global Tree SHAP importance for the Dropout class on held-out records.</w:t>
      </w:r>
    </w:p>
    <w:p>
      <w:r>
        <w:t>Partial dependence and individual conditional expectation curves were generated for progress index and approval rate. Because engineered features are related to their component variables, the curves are diagnostic model-response views rather than feasible or causal intervention simulations.</w:t>
      </w:r>
    </w:p>
    <w:p>
      <w:pPr>
        <w:pStyle w:val="Heading2"/>
      </w:pPr>
      <w:r>
        <w:t>Fairness audit</w:t>
      </w:r>
    </w:p>
    <w:p>
      <w:r>
        <w:t>Gender, age, and international status were excluded from the model inputs and used only for auditing. Debtor status, tuition status, and scholarship status were audited as incomplete socioeconomic proxies. Race is absent, and nationality or international status was not treated as a substitute for race.</w:t>
      </w:r>
    </w:p>
    <w:p>
      <w:pPr>
        <w:keepNext/>
        <w:jc w:val="center"/>
      </w:pPr>
      <w:r>
        <w:drawing>
          <wp:inline xmlns:a="http://schemas.openxmlformats.org/drawingml/2006/main" xmlns:pic="http://schemas.openxmlformats.org/drawingml/2006/picture">
            <wp:extent cx="5897880" cy="2729232"/>
            <wp:docPr id="7" name="Picture 7"/>
            <wp:cNvGraphicFramePr>
              <a:graphicFrameLocks noChangeAspect="1"/>
            </wp:cNvGraphicFramePr>
            <a:graphic>
              <a:graphicData uri="http://schemas.openxmlformats.org/drawingml/2006/picture">
                <pic:pic>
                  <pic:nvPicPr>
                    <pic:cNvPr id="0" name="07_fairness_gap_summary.png"/>
                    <pic:cNvPicPr/>
                  </pic:nvPicPr>
                  <pic:blipFill>
                    <a:blip r:embed="rId17"/>
                    <a:stretch>
                      <a:fillRect/>
                    </a:stretch>
                  </pic:blipFill>
                  <pic:spPr>
                    <a:xfrm>
                      <a:off x="0" y="0"/>
                      <a:ext cx="5897880" cy="2729232"/>
                    </a:xfrm>
                    <a:prstGeom prst="rect"/>
                  </pic:spPr>
                </pic:pic>
              </a:graphicData>
            </a:graphic>
          </wp:inline>
        </w:drawing>
      </w:r>
    </w:p>
    <w:p>
      <w:pPr>
        <w:pStyle w:val="CaptionCompact"/>
        <w:jc w:val="center"/>
      </w:pPr>
      <w:r>
        <w:t>Figure 7. Fairness screening gaps at the locked 0.23 dropout-alert threshold.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vAlign w:val="center"/>
            <w:tcMar>
              <w:top w:w="90" w:type="dxa"/>
              <w:start w:w="110" w:type="dxa"/>
              <w:bottom w:w="90" w:type="dxa"/>
              <w:end w:w="110" w:type="dxa"/>
            </w:tcMar>
            <w:shd w:fill="17324D"/>
          </w:tcPr>
          <w:p>
            <w:pPr>
              <w:spacing w:after="0"/>
            </w:pPr>
            <w:r/>
            <w:r>
              <w:rPr>
                <w:rFonts w:ascii="Arial" w:hAnsi="Arial"/>
                <w:b/>
                <w:color w:val="FFFFFF"/>
                <w:sz w:val="17"/>
              </w:rPr>
              <w:t>Audit dimension</w:t>
            </w:r>
          </w:p>
        </w:tc>
        <w:tc>
          <w:tcPr>
            <w:tcW w:type="dxa" w:w="4104"/>
            <w:vAlign w:val="center"/>
            <w:tcMar>
              <w:top w:w="90" w:type="dxa"/>
              <w:start w:w="110" w:type="dxa"/>
              <w:bottom w:w="90" w:type="dxa"/>
              <w:end w:w="110" w:type="dxa"/>
            </w:tcMar>
            <w:shd w:fill="17324D"/>
          </w:tcPr>
          <w:p>
            <w:pPr>
              <w:spacing w:after="0"/>
            </w:pPr>
            <w:r/>
            <w:r>
              <w:rPr>
                <w:rFonts w:ascii="Arial" w:hAnsi="Arial"/>
                <w:b/>
                <w:color w:val="FFFFFF"/>
                <w:sz w:val="17"/>
              </w:rPr>
              <w:t>Compared group</w:t>
            </w:r>
          </w:p>
        </w:tc>
        <w:tc>
          <w:tcPr>
            <w:tcW w:type="dxa" w:w="1800"/>
            <w:vAlign w:val="center"/>
            <w:tcMar>
              <w:top w:w="90" w:type="dxa"/>
              <w:start w:w="110" w:type="dxa"/>
              <w:bottom w:w="90" w:type="dxa"/>
              <w:end w:w="110" w:type="dxa"/>
            </w:tcMar>
            <w:shd w:fill="17324D"/>
          </w:tcPr>
          <w:p>
            <w:pPr>
              <w:spacing w:after="0"/>
            </w:pPr>
            <w:r/>
            <w:r>
              <w:rPr>
                <w:rFonts w:ascii="Arial" w:hAnsi="Arial"/>
                <w:b/>
                <w:color w:val="FFFFFF"/>
                <w:sz w:val="17"/>
              </w:rPr>
              <w:t>Maximum TPR/FPR gap</w:t>
            </w:r>
          </w:p>
        </w:tc>
        <w:tc>
          <w:tcPr>
            <w:tcW w:type="dxa" w:w="1008"/>
            <w:vAlign w:val="center"/>
            <w:tcMar>
              <w:top w:w="90" w:type="dxa"/>
              <w:start w:w="110" w:type="dxa"/>
              <w:bottom w:w="90" w:type="dxa"/>
              <w:end w:w="110" w:type="dxa"/>
            </w:tcMar>
            <w:shd w:fill="17324D"/>
          </w:tcPr>
          <w:p>
            <w:pPr>
              <w:spacing w:after="0"/>
            </w:pPr>
            <w:r/>
            <w:r>
              <w:rPr>
                <w:rFonts w:ascii="Arial" w:hAnsi="Arial"/>
                <w:b/>
                <w:color w:val="FFFFFF"/>
                <w:sz w:val="17"/>
              </w:rPr>
              <w:t>Screen</w:t>
            </w:r>
          </w:p>
        </w:tc>
      </w:tr>
      <w:tr>
        <w:tc>
          <w:tcPr>
            <w:tcW w:type="dxa" w:w="2376"/>
            <w:vAlign w:val="center"/>
            <w:tcMar>
              <w:top w:w="90" w:type="dxa"/>
              <w:start w:w="110" w:type="dxa"/>
              <w:bottom w:w="90" w:type="dxa"/>
              <w:end w:w="110" w:type="dxa"/>
            </w:tcMar>
          </w:tcPr>
          <w:p>
            <w:pPr>
              <w:spacing w:after="0"/>
            </w:pPr>
            <w:r/>
            <w:r>
              <w:rPr>
                <w:rFonts w:ascii="Arial" w:hAnsi="Arial"/>
                <w:b w:val="0"/>
                <w:color w:val="111111"/>
                <w:sz w:val="16"/>
              </w:rPr>
              <w:t>Age group</w:t>
            </w:r>
          </w:p>
        </w:tc>
        <w:tc>
          <w:tcPr>
            <w:tcW w:type="dxa" w:w="4104"/>
            <w:vAlign w:val="center"/>
            <w:tcMar>
              <w:top w:w="90" w:type="dxa"/>
              <w:start w:w="110" w:type="dxa"/>
              <w:bottom w:w="90" w:type="dxa"/>
              <w:end w:w="110" w:type="dxa"/>
            </w:tcMar>
          </w:tcPr>
          <w:p>
            <w:pPr>
              <w:spacing w:after="0"/>
            </w:pPr>
            <w:r/>
            <w:r>
              <w:rPr>
                <w:rFonts w:ascii="Arial" w:hAnsi="Arial"/>
                <w:b w:val="0"/>
                <w:color w:val="111111"/>
                <w:sz w:val="16"/>
              </w:rPr>
              <w:t>25 or older</w:t>
            </w:r>
          </w:p>
        </w:tc>
        <w:tc>
          <w:tcPr>
            <w:tcW w:type="dxa" w:w="1800"/>
            <w:vAlign w:val="center"/>
            <w:tcMar>
              <w:top w:w="90" w:type="dxa"/>
              <w:start w:w="110" w:type="dxa"/>
              <w:bottom w:w="90" w:type="dxa"/>
              <w:end w:w="110" w:type="dxa"/>
            </w:tcMar>
          </w:tcPr>
          <w:p>
            <w:pPr>
              <w:spacing w:after="0"/>
            </w:pPr>
            <w:r/>
            <w:r>
              <w:rPr>
                <w:rFonts w:ascii="Arial" w:hAnsi="Arial"/>
                <w:b w:val="0"/>
                <w:color w:val="111111"/>
                <w:sz w:val="16"/>
              </w:rPr>
              <w:t>17.5%</w:t>
            </w:r>
          </w:p>
        </w:tc>
        <w:tc>
          <w:tcPr>
            <w:tcW w:type="dxa" w:w="1008"/>
            <w:vAlign w:val="center"/>
            <w:tcMar>
              <w:top w:w="90" w:type="dxa"/>
              <w:start w:w="110" w:type="dxa"/>
              <w:bottom w:w="90" w:type="dxa"/>
              <w:end w:w="110" w:type="dxa"/>
            </w:tcMar>
          </w:tcPr>
          <w:p>
            <w:pPr>
              <w:spacing w:after="0"/>
            </w:pPr>
            <w:r/>
            <w:r>
              <w:rPr>
                <w:rFonts w:ascii="Arial" w:hAnsi="Arial"/>
                <w:b w:val="0"/>
                <w:color w:val="111111"/>
                <w:sz w:val="16"/>
              </w:rPr>
              <w:t>Review</w:t>
            </w:r>
          </w:p>
        </w:tc>
      </w:tr>
      <w:tr>
        <w:tc>
          <w:tcPr>
            <w:tcW w:type="dxa" w:w="2376"/>
            <w:vAlign w:val="center"/>
            <w:tcMar>
              <w:top w:w="90" w:type="dxa"/>
              <w:start w:w="110" w:type="dxa"/>
              <w:bottom w:w="90" w:type="dxa"/>
              <w:end w:w="110" w:type="dxa"/>
            </w:tcMar>
            <w:shd w:fill="EEF3F7"/>
          </w:tcPr>
          <w:p>
            <w:pPr>
              <w:spacing w:after="0"/>
            </w:pPr>
            <w:r/>
            <w:r>
              <w:rPr>
                <w:rFonts w:ascii="Arial" w:hAnsi="Arial"/>
                <w:b w:val="0"/>
                <w:color w:val="111111"/>
                <w:sz w:val="16"/>
              </w:rPr>
              <w:t>Financial-risk proxy</w:t>
            </w:r>
          </w:p>
        </w:tc>
        <w:tc>
          <w:tcPr>
            <w:tcW w:type="dxa" w:w="4104"/>
            <w:vAlign w:val="center"/>
            <w:tcMar>
              <w:top w:w="90" w:type="dxa"/>
              <w:start w:w="110" w:type="dxa"/>
              <w:bottom w:w="90" w:type="dxa"/>
              <w:end w:w="110" w:type="dxa"/>
            </w:tcMar>
            <w:shd w:fill="EEF3F7"/>
          </w:tcPr>
          <w:p>
            <w:pPr>
              <w:spacing w:after="0"/>
            </w:pPr>
            <w:r/>
            <w:r>
              <w:rPr>
                <w:rFonts w:ascii="Arial" w:hAnsi="Arial"/>
                <w:b w:val="0"/>
                <w:color w:val="111111"/>
                <w:sz w:val="16"/>
              </w:rPr>
              <w:t>Financial risk indicated</w:t>
            </w:r>
          </w:p>
        </w:tc>
        <w:tc>
          <w:tcPr>
            <w:tcW w:type="dxa" w:w="1800"/>
            <w:vAlign w:val="center"/>
            <w:tcMar>
              <w:top w:w="90" w:type="dxa"/>
              <w:start w:w="110" w:type="dxa"/>
              <w:bottom w:w="90" w:type="dxa"/>
              <w:end w:w="110" w:type="dxa"/>
            </w:tcMar>
            <w:shd w:fill="EEF3F7"/>
          </w:tcPr>
          <w:p>
            <w:pPr>
              <w:spacing w:after="0"/>
            </w:pPr>
            <w:r/>
            <w:r>
              <w:rPr>
                <w:rFonts w:ascii="Arial" w:hAnsi="Arial"/>
                <w:b w:val="0"/>
                <w:color w:val="111111"/>
                <w:sz w:val="16"/>
              </w:rPr>
              <w:t>41.5%</w:t>
            </w:r>
          </w:p>
        </w:tc>
        <w:tc>
          <w:tcPr>
            <w:tcW w:type="dxa" w:w="1008"/>
            <w:vAlign w:val="center"/>
            <w:tcMar>
              <w:top w:w="90" w:type="dxa"/>
              <w:start w:w="110" w:type="dxa"/>
              <w:bottom w:w="90" w:type="dxa"/>
              <w:end w:w="110" w:type="dxa"/>
            </w:tcMar>
            <w:shd w:fill="EEF3F7"/>
          </w:tcPr>
          <w:p>
            <w:pPr>
              <w:spacing w:after="0"/>
            </w:pPr>
            <w:r/>
            <w:r>
              <w:rPr>
                <w:rFonts w:ascii="Arial" w:hAnsi="Arial"/>
                <w:b w:val="0"/>
                <w:color w:val="111111"/>
                <w:sz w:val="16"/>
              </w:rPr>
              <w:t>Review</w:t>
            </w:r>
          </w:p>
        </w:tc>
      </w:tr>
      <w:tr>
        <w:tc>
          <w:tcPr>
            <w:tcW w:type="dxa" w:w="2376"/>
            <w:vAlign w:val="center"/>
            <w:tcMar>
              <w:top w:w="90" w:type="dxa"/>
              <w:start w:w="110" w:type="dxa"/>
              <w:bottom w:w="90" w:type="dxa"/>
              <w:end w:w="110" w:type="dxa"/>
            </w:tcMar>
          </w:tcPr>
          <w:p>
            <w:pPr>
              <w:spacing w:after="0"/>
            </w:pPr>
            <w:r/>
            <w:r>
              <w:rPr>
                <w:rFonts w:ascii="Arial" w:hAnsi="Arial"/>
                <w:b w:val="0"/>
                <w:color w:val="111111"/>
                <w:sz w:val="16"/>
              </w:rPr>
              <w:t>Scholarship status</w:t>
            </w:r>
          </w:p>
        </w:tc>
        <w:tc>
          <w:tcPr>
            <w:tcW w:type="dxa" w:w="4104"/>
            <w:vAlign w:val="center"/>
            <w:tcMar>
              <w:top w:w="90" w:type="dxa"/>
              <w:start w:w="110" w:type="dxa"/>
              <w:bottom w:w="90" w:type="dxa"/>
              <w:end w:w="110" w:type="dxa"/>
            </w:tcMar>
          </w:tcPr>
          <w:p>
            <w:pPr>
              <w:spacing w:after="0"/>
            </w:pPr>
            <w:r/>
            <w:r>
              <w:rPr>
                <w:rFonts w:ascii="Arial" w:hAnsi="Arial"/>
                <w:b w:val="0"/>
                <w:color w:val="111111"/>
                <w:sz w:val="16"/>
              </w:rPr>
              <w:t>Scholarship holder</w:t>
            </w:r>
          </w:p>
        </w:tc>
        <w:tc>
          <w:tcPr>
            <w:tcW w:type="dxa" w:w="1800"/>
            <w:vAlign w:val="center"/>
            <w:tcMar>
              <w:top w:w="90" w:type="dxa"/>
              <w:start w:w="110" w:type="dxa"/>
              <w:bottom w:w="90" w:type="dxa"/>
              <w:end w:w="110" w:type="dxa"/>
            </w:tcMar>
          </w:tcPr>
          <w:p>
            <w:pPr>
              <w:spacing w:after="0"/>
            </w:pPr>
            <w:r/>
            <w:r>
              <w:rPr>
                <w:rFonts w:ascii="Arial" w:hAnsi="Arial"/>
                <w:b w:val="0"/>
                <w:color w:val="111111"/>
                <w:sz w:val="16"/>
              </w:rPr>
              <w:t>33.4%</w:t>
            </w:r>
          </w:p>
        </w:tc>
        <w:tc>
          <w:tcPr>
            <w:tcW w:type="dxa" w:w="1008"/>
            <w:vAlign w:val="center"/>
            <w:tcMar>
              <w:top w:w="90" w:type="dxa"/>
              <w:start w:w="110" w:type="dxa"/>
              <w:bottom w:w="90" w:type="dxa"/>
              <w:end w:w="110" w:type="dxa"/>
            </w:tcMar>
          </w:tcPr>
          <w:p>
            <w:pPr>
              <w:spacing w:after="0"/>
            </w:pPr>
            <w:r/>
            <w:r>
              <w:rPr>
                <w:rFonts w:ascii="Arial" w:hAnsi="Arial"/>
                <w:b w:val="0"/>
                <w:color w:val="111111"/>
                <w:sz w:val="16"/>
              </w:rPr>
              <w:t>Review</w:t>
            </w:r>
          </w:p>
        </w:tc>
      </w:tr>
      <w:tr>
        <w:tc>
          <w:tcPr>
            <w:tcW w:type="dxa" w:w="2376"/>
            <w:vAlign w:val="center"/>
            <w:tcMar>
              <w:top w:w="90" w:type="dxa"/>
              <w:start w:w="110" w:type="dxa"/>
              <w:bottom w:w="90" w:type="dxa"/>
              <w:end w:w="110" w:type="dxa"/>
            </w:tcMar>
            <w:shd w:fill="EEF3F7"/>
          </w:tcPr>
          <w:p>
            <w:pPr>
              <w:spacing w:after="0"/>
            </w:pPr>
            <w:r/>
            <w:r>
              <w:rPr>
                <w:rFonts w:ascii="Arial" w:hAnsi="Arial"/>
                <w:b w:val="0"/>
                <w:color w:val="111111"/>
                <w:sz w:val="16"/>
              </w:rPr>
              <w:t>Gender x financial risk</w:t>
            </w:r>
          </w:p>
        </w:tc>
        <w:tc>
          <w:tcPr>
            <w:tcW w:type="dxa" w:w="4104"/>
            <w:vAlign w:val="center"/>
            <w:tcMar>
              <w:top w:w="90" w:type="dxa"/>
              <w:start w:w="110" w:type="dxa"/>
              <w:bottom w:w="90" w:type="dxa"/>
              <w:end w:w="110" w:type="dxa"/>
            </w:tcMar>
            <w:shd w:fill="EEF3F7"/>
          </w:tcPr>
          <w:p>
            <w:pPr>
              <w:spacing w:after="0"/>
            </w:pPr>
            <w:r/>
            <w:r>
              <w:rPr>
                <w:rFonts w:ascii="Arial" w:hAnsi="Arial"/>
                <w:b w:val="0"/>
                <w:color w:val="111111"/>
                <w:sz w:val="16"/>
              </w:rPr>
              <w:t>Female | Financial risk indicated</w:t>
            </w:r>
          </w:p>
        </w:tc>
        <w:tc>
          <w:tcPr>
            <w:tcW w:type="dxa" w:w="1800"/>
            <w:vAlign w:val="center"/>
            <w:tcMar>
              <w:top w:w="90" w:type="dxa"/>
              <w:start w:w="110" w:type="dxa"/>
              <w:bottom w:w="90" w:type="dxa"/>
              <w:end w:w="110" w:type="dxa"/>
            </w:tcMar>
            <w:shd w:fill="EEF3F7"/>
          </w:tcPr>
          <w:p>
            <w:pPr>
              <w:spacing w:after="0"/>
            </w:pPr>
            <w:r/>
            <w:r>
              <w:rPr>
                <w:rFonts w:ascii="Arial" w:hAnsi="Arial"/>
                <w:b w:val="0"/>
                <w:color w:val="111111"/>
                <w:sz w:val="16"/>
              </w:rPr>
              <w:t>46.8%</w:t>
            </w:r>
          </w:p>
        </w:tc>
        <w:tc>
          <w:tcPr>
            <w:tcW w:type="dxa" w:w="1008"/>
            <w:vAlign w:val="center"/>
            <w:tcMar>
              <w:top w:w="90" w:type="dxa"/>
              <w:start w:w="110" w:type="dxa"/>
              <w:bottom w:w="90" w:type="dxa"/>
              <w:end w:w="110" w:type="dxa"/>
            </w:tcMar>
            <w:shd w:fill="EEF3F7"/>
          </w:tcPr>
          <w:p>
            <w:pPr>
              <w:spacing w:after="0"/>
            </w:pPr>
            <w:r/>
            <w:r>
              <w:rPr>
                <w:rFonts w:ascii="Arial" w:hAnsi="Arial"/>
                <w:b w:val="0"/>
                <w:color w:val="111111"/>
                <w:sz w:val="16"/>
              </w:rPr>
              <w:t>Review</w:t>
            </w:r>
          </w:p>
        </w:tc>
      </w:tr>
      <w:tr>
        <w:tc>
          <w:tcPr>
            <w:tcW w:type="dxa" w:w="2376"/>
            <w:vAlign w:val="center"/>
            <w:tcMar>
              <w:top w:w="90" w:type="dxa"/>
              <w:start w:w="110" w:type="dxa"/>
              <w:bottom w:w="90" w:type="dxa"/>
              <w:end w:w="110" w:type="dxa"/>
            </w:tcMar>
          </w:tcPr>
          <w:p>
            <w:pPr>
              <w:spacing w:after="0"/>
            </w:pPr>
            <w:r/>
            <w:r>
              <w:rPr>
                <w:rFonts w:ascii="Arial" w:hAnsi="Arial"/>
                <w:b w:val="0"/>
                <w:color w:val="111111"/>
                <w:sz w:val="16"/>
              </w:rPr>
              <w:t>Gender x financial risk</w:t>
            </w:r>
          </w:p>
        </w:tc>
        <w:tc>
          <w:tcPr>
            <w:tcW w:type="dxa" w:w="4104"/>
            <w:vAlign w:val="center"/>
            <w:tcMar>
              <w:top w:w="90" w:type="dxa"/>
              <w:start w:w="110" w:type="dxa"/>
              <w:bottom w:w="90" w:type="dxa"/>
              <w:end w:w="110" w:type="dxa"/>
            </w:tcMar>
          </w:tcPr>
          <w:p>
            <w:pPr>
              <w:spacing w:after="0"/>
            </w:pPr>
            <w:r/>
            <w:r>
              <w:rPr>
                <w:rFonts w:ascii="Arial" w:hAnsi="Arial"/>
                <w:b w:val="0"/>
                <w:color w:val="111111"/>
                <w:sz w:val="16"/>
              </w:rPr>
              <w:t>Male | Financial risk indicated</w:t>
            </w:r>
          </w:p>
        </w:tc>
        <w:tc>
          <w:tcPr>
            <w:tcW w:type="dxa" w:w="1800"/>
            <w:vAlign w:val="center"/>
            <w:tcMar>
              <w:top w:w="90" w:type="dxa"/>
              <w:start w:w="110" w:type="dxa"/>
              <w:bottom w:w="90" w:type="dxa"/>
              <w:end w:w="110" w:type="dxa"/>
            </w:tcMar>
          </w:tcPr>
          <w:p>
            <w:pPr>
              <w:spacing w:after="0"/>
            </w:pPr>
            <w:r/>
            <w:r>
              <w:rPr>
                <w:rFonts w:ascii="Arial" w:hAnsi="Arial"/>
                <w:b w:val="0"/>
                <w:color w:val="111111"/>
                <w:sz w:val="16"/>
              </w:rPr>
              <w:t>36.5%</w:t>
            </w:r>
          </w:p>
        </w:tc>
        <w:tc>
          <w:tcPr>
            <w:tcW w:type="dxa" w:w="1008"/>
            <w:vAlign w:val="center"/>
            <w:tcMar>
              <w:top w:w="90" w:type="dxa"/>
              <w:start w:w="110" w:type="dxa"/>
              <w:bottom w:w="90" w:type="dxa"/>
              <w:end w:w="110" w:type="dxa"/>
            </w:tcMar>
          </w:tcPr>
          <w:p>
            <w:pPr>
              <w:spacing w:after="0"/>
            </w:pPr>
            <w:r/>
            <w:r>
              <w:rPr>
                <w:rFonts w:ascii="Arial" w:hAnsi="Arial"/>
                <w:b w:val="0"/>
                <w:color w:val="111111"/>
                <w:sz w:val="16"/>
              </w:rPr>
              <w:t>Review</w:t>
            </w:r>
          </w:p>
        </w:tc>
      </w:tr>
      <w:tr>
        <w:tc>
          <w:tcPr>
            <w:tcW w:type="dxa" w:w="2376"/>
            <w:vAlign w:val="center"/>
            <w:tcMar>
              <w:top w:w="90" w:type="dxa"/>
              <w:start w:w="110" w:type="dxa"/>
              <w:bottom w:w="90" w:type="dxa"/>
              <w:end w:w="110" w:type="dxa"/>
            </w:tcMar>
            <w:shd w:fill="EEF3F7"/>
          </w:tcPr>
          <w:p>
            <w:pPr>
              <w:spacing w:after="0"/>
            </w:pPr>
            <w:r/>
            <w:r>
              <w:rPr>
                <w:rFonts w:ascii="Arial" w:hAnsi="Arial"/>
                <w:b w:val="0"/>
                <w:color w:val="111111"/>
                <w:sz w:val="16"/>
              </w:rPr>
              <w:t>Gender x financial risk</w:t>
            </w:r>
          </w:p>
        </w:tc>
        <w:tc>
          <w:tcPr>
            <w:tcW w:type="dxa" w:w="4104"/>
            <w:vAlign w:val="center"/>
            <w:tcMar>
              <w:top w:w="90" w:type="dxa"/>
              <w:start w:w="110" w:type="dxa"/>
              <w:bottom w:w="90" w:type="dxa"/>
              <w:end w:w="110" w:type="dxa"/>
            </w:tcMar>
            <w:shd w:fill="EEF3F7"/>
          </w:tcPr>
          <w:p>
            <w:pPr>
              <w:spacing w:after="0"/>
            </w:pPr>
            <w:r/>
            <w:r>
              <w:rPr>
                <w:rFonts w:ascii="Arial" w:hAnsi="Arial"/>
                <w:b w:val="0"/>
                <w:color w:val="111111"/>
                <w:sz w:val="16"/>
              </w:rPr>
              <w:t>Male | No immediate financial risk</w:t>
            </w:r>
          </w:p>
        </w:tc>
        <w:tc>
          <w:tcPr>
            <w:tcW w:type="dxa" w:w="1800"/>
            <w:vAlign w:val="center"/>
            <w:tcMar>
              <w:top w:w="90" w:type="dxa"/>
              <w:start w:w="110" w:type="dxa"/>
              <w:bottom w:w="90" w:type="dxa"/>
              <w:end w:w="110" w:type="dxa"/>
            </w:tcMar>
            <w:shd w:fill="EEF3F7"/>
          </w:tcPr>
          <w:p>
            <w:pPr>
              <w:spacing w:after="0"/>
            </w:pPr>
            <w:r/>
            <w:r>
              <w:rPr>
                <w:rFonts w:ascii="Arial" w:hAnsi="Arial"/>
                <w:b w:val="0"/>
                <w:color w:val="111111"/>
                <w:sz w:val="16"/>
              </w:rPr>
              <w:t>15.9%</w:t>
            </w:r>
          </w:p>
        </w:tc>
        <w:tc>
          <w:tcPr>
            <w:tcW w:type="dxa" w:w="1008"/>
            <w:vAlign w:val="center"/>
            <w:tcMar>
              <w:top w:w="90" w:type="dxa"/>
              <w:start w:w="110" w:type="dxa"/>
              <w:bottom w:w="90" w:type="dxa"/>
              <w:end w:w="110" w:type="dxa"/>
            </w:tcMar>
            <w:shd w:fill="EEF3F7"/>
          </w:tcPr>
          <w:p>
            <w:pPr>
              <w:spacing w:after="0"/>
            </w:pPr>
            <w:r/>
            <w:r>
              <w:rPr>
                <w:rFonts w:ascii="Arial" w:hAnsi="Arial"/>
                <w:b w:val="0"/>
                <w:color w:val="111111"/>
                <w:sz w:val="16"/>
              </w:rPr>
              <w:t>Review</w:t>
            </w:r>
          </w:p>
        </w:tc>
      </w:tr>
    </w:tbl>
    <w:p>
      <w:pPr>
        <w:spacing w:after="0"/>
      </w:pPr>
    </w:p>
    <w:p>
      <w:r>
        <w:t>The audit produced 7 four-fifths screening flags and 6 equalized-odds screening flags. The largest TPR/FPR gap was 46.8% for Female | Financial risk indicated relative to Female | No immediate financial risk.</w:t>
      </w:r>
    </w:p>
    <w:tbl>
      <w:tblPr>
        <w:tblW w:type="auto" w:w="0"/>
        <w:jc w:val="center"/>
        <w:tblLayout w:type="fixed"/>
        <w:tblLook w:firstColumn="1" w:firstRow="1" w:lastColumn="0" w:lastRow="0" w:noHBand="0" w:noVBand="1" w:val="04A0"/>
      </w:tblPr>
      <w:tblGrid>
        <w:gridCol w:w="10166"/>
      </w:tblGrid>
      <w:tr>
        <w:tc>
          <w:tcPr>
            <w:tcW w:type="dxa" w:w="9850"/>
            <w:shd w:fill="FAECEF"/>
            <w:tcBorders>
              <w:left w:val="single" w:sz="24" w:space="0" w:color="D4475C"/>
            </w:tcBorders>
            <w:tcMar>
              <w:top w:w="120" w:type="dxa"/>
              <w:start w:w="170" w:type="dxa"/>
              <w:bottom w:w="120" w:type="dxa"/>
              <w:end w:w="150" w:type="dxa"/>
            </w:tcMar>
          </w:tcPr>
          <w:p>
            <w:pPr>
              <w:spacing w:after="40"/>
            </w:pPr>
            <w:r/>
            <w:r>
              <w:rPr>
                <w:rFonts w:ascii="Arial" w:hAnsi="Arial"/>
                <w:b/>
                <w:color w:val="D4475C"/>
                <w:sz w:val="20"/>
              </w:rPr>
              <w:t>How to interpret the fairness results</w:t>
            </w:r>
          </w:p>
          <w:p>
            <w:pPr>
              <w:spacing w:after="0" w:line="252" w:lineRule="auto"/>
            </w:pPr>
            <w:r>
              <w:rPr>
                <w:rFonts w:ascii="Arial" w:hAnsi="Arial"/>
                <w:color w:val="111111"/>
                <w:sz w:val="18"/>
              </w:rPr>
              <w:t>The flags identify comparisons that require review. They are not legal findings and do not prove discrimination. Historical outcome differences may reflect unequal access or institutional conditions. The practical benefits and burdens of outreach, false positives, and missed students must be evaluated with affected stakeholders.</w:t>
            </w:r>
          </w:p>
        </w:tc>
      </w:tr>
    </w:tbl>
    <w:p>
      <w:pPr>
        <w:spacing w:after="0"/>
      </w:pPr>
    </w:p>
    <w:p>
      <w:pPr>
        <w:pStyle w:val="Heading2"/>
      </w:pPr>
      <w:r>
        <w:t>Key ethical limitations</w:t>
      </w:r>
    </w:p>
    <w:p>
      <w:pPr>
        <w:pStyle w:val="ListBullet"/>
        <w:spacing w:after="60"/>
        <w:ind w:left="317" w:hanging="173"/>
      </w:pPr>
      <w:r>
        <w:t>Race is unavailable, so racial fairness cannot be assessed.</w:t>
      </w:r>
    </w:p>
    <w:p>
      <w:pPr>
        <w:pStyle w:val="ListBullet"/>
        <w:spacing w:after="60"/>
        <w:ind w:left="317" w:hanging="173"/>
      </w:pPr>
      <w:r>
        <w:t>Gender is binary in the source data and may not represent student identity.</w:t>
      </w:r>
    </w:p>
    <w:p>
      <w:pPr>
        <w:pStyle w:val="ListBullet"/>
        <w:spacing w:after="60"/>
        <w:ind w:left="317" w:hanging="173"/>
      </w:pPr>
      <w:r>
        <w:t>The international group has only 24 held-out records and the scholarship group has only 19 actual dropouts, producing unstable estimates.</w:t>
      </w:r>
    </w:p>
    <w:p>
      <w:pPr>
        <w:pStyle w:val="ListBullet"/>
        <w:spacing w:after="60"/>
        <w:ind w:left="317" w:hanging="173"/>
      </w:pPr>
      <w:r>
        <w:t>Financial indicators do not fully measure income, wealth, caregiving, accessibility costs, or access to institutional support.</w:t>
      </w:r>
    </w:p>
    <w:p>
      <w:pPr>
        <w:pStyle w:val="ListBullet"/>
        <w:spacing w:after="60"/>
        <w:ind w:left="317" w:hanging="173"/>
      </w:pPr>
      <w:r>
        <w:t>Historical labels can encode structural and institutional inequities.</w:t>
      </w:r>
    </w:p>
    <w:p>
      <w:pPr>
        <w:pStyle w:val="ListBullet"/>
        <w:spacing w:after="60"/>
        <w:ind w:left="317" w:hanging="173"/>
      </w:pPr>
      <w:r>
        <w:t>Explanations and subgroup relationships are descriptive rather than causal.</w:t>
      </w:r>
    </w:p>
    <w:p>
      <w:pPr>
        <w:pStyle w:val="Heading1"/>
      </w:pPr>
      <w:r>
        <w:t>6  Operational recommendation and governance</w:t>
      </w:r>
    </w:p>
    <w:p>
      <w:r>
        <w:t>The model is suitable only for a controlled support pilot after local review. The pilot should test whether outreach improves access to support and student outcomes without imposing disproportionate burden. A current institutional cohort should validate performance, calibration, and fairness before any scale-up.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90" w:type="dxa"/>
              <w:start w:w="110" w:type="dxa"/>
              <w:bottom w:w="90" w:type="dxa"/>
              <w:end w:w="110" w:type="dxa"/>
            </w:tcMar>
            <w:shd w:fill="17324D"/>
          </w:tcPr>
          <w:p>
            <w:pPr>
              <w:spacing w:after="0"/>
            </w:pPr>
            <w:r/>
            <w:r>
              <w:rPr>
                <w:rFonts w:ascii="Arial" w:hAnsi="Arial"/>
                <w:b/>
                <w:color w:val="FFFFFF"/>
                <w:sz w:val="17"/>
              </w:rPr>
              <w:t>Control</w:t>
            </w:r>
          </w:p>
        </w:tc>
        <w:tc>
          <w:tcPr>
            <w:tcW w:type="dxa" w:w="4320"/>
            <w:vAlign w:val="center"/>
            <w:tcMar>
              <w:top w:w="90" w:type="dxa"/>
              <w:start w:w="110" w:type="dxa"/>
              <w:bottom w:w="90" w:type="dxa"/>
              <w:end w:w="110" w:type="dxa"/>
            </w:tcMar>
            <w:shd w:fill="17324D"/>
          </w:tcPr>
          <w:p>
            <w:pPr>
              <w:spacing w:after="0"/>
            </w:pPr>
            <w:r/>
            <w:r>
              <w:rPr>
                <w:rFonts w:ascii="Arial" w:hAnsi="Arial"/>
                <w:b/>
                <w:color w:val="FFFFFF"/>
                <w:sz w:val="17"/>
              </w:rPr>
              <w:t>Required practice</w:t>
            </w:r>
          </w:p>
        </w:tc>
        <w:tc>
          <w:tcPr>
            <w:tcW w:type="dxa" w:w="2880"/>
            <w:vAlign w:val="center"/>
            <w:tcMar>
              <w:top w:w="90" w:type="dxa"/>
              <w:start w:w="110" w:type="dxa"/>
              <w:bottom w:w="90" w:type="dxa"/>
              <w:end w:w="110" w:type="dxa"/>
            </w:tcMar>
            <w:shd w:fill="17324D"/>
          </w:tcPr>
          <w:p>
            <w:pPr>
              <w:spacing w:after="0"/>
            </w:pPr>
            <w:r/>
            <w:r>
              <w:rPr>
                <w:rFonts w:ascii="Arial" w:hAnsi="Arial"/>
                <w:b/>
                <w:color w:val="FFFFFF"/>
                <w:sz w:val="17"/>
              </w:rPr>
              <w:t>Evidence to monitor</w:t>
            </w:r>
          </w:p>
        </w:tc>
      </w:tr>
      <w:tr>
        <w:tc>
          <w:tcPr>
            <w:tcW w:type="dxa" w:w="1944"/>
            <w:vAlign w:val="center"/>
            <w:tcMar>
              <w:top w:w="90" w:type="dxa"/>
              <w:start w:w="110" w:type="dxa"/>
              <w:bottom w:w="90" w:type="dxa"/>
              <w:end w:w="110" w:type="dxa"/>
            </w:tcMar>
          </w:tcPr>
          <w:p>
            <w:pPr>
              <w:spacing w:after="0"/>
            </w:pPr>
            <w:r/>
            <w:r>
              <w:rPr>
                <w:rFonts w:ascii="Arial" w:hAnsi="Arial"/>
                <w:b w:val="0"/>
                <w:color w:val="111111"/>
                <w:sz w:val="16"/>
              </w:rPr>
              <w:t>Support-only policy</w:t>
            </w:r>
          </w:p>
        </w:tc>
        <w:tc>
          <w:tcPr>
            <w:tcW w:type="dxa" w:w="4320"/>
            <w:vAlign w:val="center"/>
            <w:tcMar>
              <w:top w:w="90" w:type="dxa"/>
              <w:start w:w="110" w:type="dxa"/>
              <w:bottom w:w="90" w:type="dxa"/>
              <w:end w:w="110" w:type="dxa"/>
            </w:tcMar>
          </w:tcPr>
          <w:p>
            <w:pPr>
              <w:spacing w:after="0"/>
            </w:pPr>
            <w:r/>
            <w:r>
              <w:rPr>
                <w:rFonts w:ascii="Arial" w:hAnsi="Arial"/>
                <w:b w:val="0"/>
                <w:color w:val="111111"/>
                <w:sz w:val="16"/>
              </w:rPr>
              <w:t>Limit alerts to offers of counseling, tutoring, and assistance</w:t>
            </w:r>
          </w:p>
        </w:tc>
        <w:tc>
          <w:tcPr>
            <w:tcW w:type="dxa" w:w="2880"/>
            <w:vAlign w:val="center"/>
            <w:tcMar>
              <w:top w:w="90" w:type="dxa"/>
              <w:start w:w="110" w:type="dxa"/>
              <w:bottom w:w="90" w:type="dxa"/>
              <w:end w:w="110" w:type="dxa"/>
            </w:tcMar>
          </w:tcPr>
          <w:p>
            <w:pPr>
              <w:spacing w:after="0"/>
            </w:pPr>
            <w:r/>
            <w:r>
              <w:rPr>
                <w:rFonts w:ascii="Arial" w:hAnsi="Arial"/>
                <w:b w:val="0"/>
                <w:color w:val="111111"/>
                <w:sz w:val="16"/>
              </w:rPr>
              <w:t>Contact reason and service offered</w:t>
            </w:r>
          </w:p>
        </w:tc>
      </w:tr>
      <w:tr>
        <w:tc>
          <w:tcPr>
            <w:tcW w:type="dxa" w:w="1944"/>
            <w:vAlign w:val="center"/>
            <w:tcMar>
              <w:top w:w="90" w:type="dxa"/>
              <w:start w:w="110" w:type="dxa"/>
              <w:bottom w:w="90" w:type="dxa"/>
              <w:end w:w="110" w:type="dxa"/>
            </w:tcMar>
            <w:shd w:fill="EEF3F7"/>
          </w:tcPr>
          <w:p>
            <w:pPr>
              <w:spacing w:after="0"/>
            </w:pPr>
            <w:r/>
            <w:r>
              <w:rPr>
                <w:rFonts w:ascii="Arial" w:hAnsi="Arial"/>
                <w:b w:val="0"/>
                <w:color w:val="111111"/>
                <w:sz w:val="16"/>
              </w:rPr>
              <w:t>Human review</w:t>
            </w:r>
          </w:p>
        </w:tc>
        <w:tc>
          <w:tcPr>
            <w:tcW w:type="dxa" w:w="4320"/>
            <w:vAlign w:val="center"/>
            <w:tcMar>
              <w:top w:w="90" w:type="dxa"/>
              <w:start w:w="110" w:type="dxa"/>
              <w:bottom w:w="90" w:type="dxa"/>
              <w:end w:w="110" w:type="dxa"/>
            </w:tcMar>
            <w:shd w:fill="EEF3F7"/>
          </w:tcPr>
          <w:p>
            <w:pPr>
              <w:spacing w:after="0"/>
            </w:pPr>
            <w:r/>
            <w:r>
              <w:rPr>
                <w:rFonts w:ascii="Arial" w:hAnsi="Arial"/>
                <w:b w:val="0"/>
                <w:color w:val="111111"/>
                <w:sz w:val="16"/>
              </w:rPr>
              <w:t>Confirm context before student contact</w:t>
            </w:r>
          </w:p>
        </w:tc>
        <w:tc>
          <w:tcPr>
            <w:tcW w:type="dxa" w:w="2880"/>
            <w:vAlign w:val="center"/>
            <w:tcMar>
              <w:top w:w="90" w:type="dxa"/>
              <w:start w:w="110" w:type="dxa"/>
              <w:bottom w:w="90" w:type="dxa"/>
              <w:end w:w="110" w:type="dxa"/>
            </w:tcMar>
            <w:shd w:fill="EEF3F7"/>
          </w:tcPr>
          <w:p>
            <w:pPr>
              <w:spacing w:after="0"/>
            </w:pPr>
            <w:r/>
            <w:r>
              <w:rPr>
                <w:rFonts w:ascii="Arial" w:hAnsi="Arial"/>
                <w:b w:val="0"/>
                <w:color w:val="111111"/>
                <w:sz w:val="16"/>
              </w:rPr>
              <w:t>Overrides and review notes</w:t>
            </w:r>
          </w:p>
        </w:tc>
      </w:tr>
      <w:tr>
        <w:tc>
          <w:tcPr>
            <w:tcW w:type="dxa" w:w="1944"/>
            <w:vAlign w:val="center"/>
            <w:tcMar>
              <w:top w:w="90" w:type="dxa"/>
              <w:start w:w="110" w:type="dxa"/>
              <w:bottom w:w="90" w:type="dxa"/>
              <w:end w:w="110" w:type="dxa"/>
            </w:tcMar>
          </w:tcPr>
          <w:p>
            <w:pPr>
              <w:spacing w:after="0"/>
            </w:pPr>
            <w:r/>
            <w:r>
              <w:rPr>
                <w:rFonts w:ascii="Arial" w:hAnsi="Arial"/>
                <w:b w:val="0"/>
                <w:color w:val="111111"/>
                <w:sz w:val="16"/>
              </w:rPr>
              <w:t>Explanation and appeal</w:t>
            </w:r>
          </w:p>
        </w:tc>
        <w:tc>
          <w:tcPr>
            <w:tcW w:type="dxa" w:w="4320"/>
            <w:vAlign w:val="center"/>
            <w:tcMar>
              <w:top w:w="90" w:type="dxa"/>
              <w:start w:w="110" w:type="dxa"/>
              <w:bottom w:w="90" w:type="dxa"/>
              <w:end w:w="110" w:type="dxa"/>
            </w:tcMar>
          </w:tcPr>
          <w:p>
            <w:pPr>
              <w:spacing w:after="0"/>
            </w:pPr>
            <w:r/>
            <w:r>
              <w:rPr>
                <w:rFonts w:ascii="Arial" w:hAnsi="Arial"/>
                <w:b w:val="0"/>
                <w:color w:val="111111"/>
                <w:sz w:val="16"/>
              </w:rPr>
              <w:t>Provide plain-language reasons and a correction route</w:t>
            </w:r>
          </w:p>
        </w:tc>
        <w:tc>
          <w:tcPr>
            <w:tcW w:type="dxa" w:w="2880"/>
            <w:vAlign w:val="center"/>
            <w:tcMar>
              <w:top w:w="90" w:type="dxa"/>
              <w:start w:w="110" w:type="dxa"/>
              <w:bottom w:w="90" w:type="dxa"/>
              <w:end w:w="110" w:type="dxa"/>
            </w:tcMar>
          </w:tcPr>
          <w:p>
            <w:pPr>
              <w:spacing w:after="0"/>
            </w:pPr>
            <w:r/>
            <w:r>
              <w:rPr>
                <w:rFonts w:ascii="Arial" w:hAnsi="Arial"/>
                <w:b w:val="0"/>
                <w:color w:val="111111"/>
                <w:sz w:val="16"/>
              </w:rPr>
              <w:t>Corrections, complaints, and appeal outcomes</w:t>
            </w:r>
          </w:p>
        </w:tc>
      </w:tr>
      <w:tr>
        <w:tc>
          <w:tcPr>
            <w:tcW w:type="dxa" w:w="1944"/>
            <w:vAlign w:val="center"/>
            <w:tcMar>
              <w:top w:w="90" w:type="dxa"/>
              <w:start w:w="110" w:type="dxa"/>
              <w:bottom w:w="90" w:type="dxa"/>
              <w:end w:w="110" w:type="dxa"/>
            </w:tcMar>
            <w:shd w:fill="EEF3F7"/>
          </w:tcPr>
          <w:p>
            <w:pPr>
              <w:spacing w:after="0"/>
            </w:pPr>
            <w:r/>
            <w:r>
              <w:rPr>
                <w:rFonts w:ascii="Arial" w:hAnsi="Arial"/>
                <w:b w:val="0"/>
                <w:color w:val="111111"/>
                <w:sz w:val="16"/>
              </w:rPr>
              <w:t>Calibration</w:t>
            </w:r>
          </w:p>
        </w:tc>
        <w:tc>
          <w:tcPr>
            <w:tcW w:type="dxa" w:w="4320"/>
            <w:vAlign w:val="center"/>
            <w:tcMar>
              <w:top w:w="90" w:type="dxa"/>
              <w:start w:w="110" w:type="dxa"/>
              <w:bottom w:w="90" w:type="dxa"/>
              <w:end w:w="110" w:type="dxa"/>
            </w:tcMar>
            <w:shd w:fill="EEF3F7"/>
          </w:tcPr>
          <w:p>
            <w:pPr>
              <w:spacing w:after="0"/>
            </w:pPr>
            <w:r/>
            <w:r>
              <w:rPr>
                <w:rFonts w:ascii="Arial" w:hAnsi="Arial"/>
                <w:b w:val="0"/>
                <w:color w:val="111111"/>
                <w:sz w:val="16"/>
              </w:rPr>
              <w:t>Recalibrate on current institutional data</w:t>
            </w:r>
          </w:p>
        </w:tc>
        <w:tc>
          <w:tcPr>
            <w:tcW w:type="dxa" w:w="2880"/>
            <w:vAlign w:val="center"/>
            <w:tcMar>
              <w:top w:w="90" w:type="dxa"/>
              <w:start w:w="110" w:type="dxa"/>
              <w:bottom w:w="90" w:type="dxa"/>
              <w:end w:w="110" w:type="dxa"/>
            </w:tcMar>
            <w:shd w:fill="EEF3F7"/>
          </w:tcPr>
          <w:p>
            <w:pPr>
              <w:spacing w:after="0"/>
            </w:pPr>
            <w:r/>
            <w:r>
              <w:rPr>
                <w:rFonts w:ascii="Arial" w:hAnsi="Arial"/>
                <w:b w:val="0"/>
                <w:color w:val="111111"/>
                <w:sz w:val="16"/>
              </w:rPr>
              <w:t>Brier score and calibration by cohort</w:t>
            </w:r>
          </w:p>
        </w:tc>
      </w:tr>
      <w:tr>
        <w:tc>
          <w:tcPr>
            <w:tcW w:type="dxa" w:w="1944"/>
            <w:vAlign w:val="center"/>
            <w:tcMar>
              <w:top w:w="90" w:type="dxa"/>
              <w:start w:w="110" w:type="dxa"/>
              <w:bottom w:w="90" w:type="dxa"/>
              <w:end w:w="110" w:type="dxa"/>
            </w:tcMar>
          </w:tcPr>
          <w:p>
            <w:pPr>
              <w:spacing w:after="0"/>
            </w:pPr>
            <w:r/>
            <w:r>
              <w:rPr>
                <w:rFonts w:ascii="Arial" w:hAnsi="Arial"/>
                <w:b w:val="0"/>
                <w:color w:val="111111"/>
                <w:sz w:val="16"/>
              </w:rPr>
              <w:t>Fairness monitoring</w:t>
            </w:r>
          </w:p>
        </w:tc>
        <w:tc>
          <w:tcPr>
            <w:tcW w:type="dxa" w:w="4320"/>
            <w:vAlign w:val="center"/>
            <w:tcMar>
              <w:top w:w="90" w:type="dxa"/>
              <w:start w:w="110" w:type="dxa"/>
              <w:bottom w:w="90" w:type="dxa"/>
              <w:end w:w="110" w:type="dxa"/>
            </w:tcMar>
          </w:tcPr>
          <w:p>
            <w:pPr>
              <w:spacing w:after="0"/>
            </w:pPr>
            <w:r/>
            <w:r>
              <w:rPr>
                <w:rFonts w:ascii="Arial" w:hAnsi="Arial"/>
                <w:b w:val="0"/>
                <w:color w:val="111111"/>
                <w:sz w:val="16"/>
              </w:rPr>
              <w:t>Track alert rate, recall, false-positive rate, and precision by group</w:t>
            </w:r>
          </w:p>
        </w:tc>
        <w:tc>
          <w:tcPr>
            <w:tcW w:type="dxa" w:w="2880"/>
            <w:vAlign w:val="center"/>
            <w:tcMar>
              <w:top w:w="90" w:type="dxa"/>
              <w:start w:w="110" w:type="dxa"/>
              <w:bottom w:w="90" w:type="dxa"/>
              <w:end w:w="110" w:type="dxa"/>
            </w:tcMar>
          </w:tcPr>
          <w:p>
            <w:pPr>
              <w:spacing w:after="0"/>
            </w:pPr>
            <w:r/>
            <w:r>
              <w:rPr>
                <w:rFonts w:ascii="Arial" w:hAnsi="Arial"/>
                <w:b w:val="0"/>
                <w:color w:val="111111"/>
                <w:sz w:val="16"/>
              </w:rPr>
              <w:t>Confidence intervals and sample sizes</w:t>
            </w:r>
          </w:p>
        </w:tc>
      </w:tr>
      <w:tr>
        <w:tc>
          <w:tcPr>
            <w:tcW w:type="dxa" w:w="1944"/>
            <w:vAlign w:val="center"/>
            <w:tcMar>
              <w:top w:w="90" w:type="dxa"/>
              <w:start w:w="110" w:type="dxa"/>
              <w:bottom w:w="90" w:type="dxa"/>
              <w:end w:w="110" w:type="dxa"/>
            </w:tcMar>
            <w:shd w:fill="EEF3F7"/>
          </w:tcPr>
          <w:p>
            <w:pPr>
              <w:spacing w:after="0"/>
            </w:pPr>
            <w:r/>
            <w:r>
              <w:rPr>
                <w:rFonts w:ascii="Arial" w:hAnsi="Arial"/>
                <w:b w:val="0"/>
                <w:color w:val="111111"/>
                <w:sz w:val="16"/>
              </w:rPr>
              <w:t>Outcome monitoring</w:t>
            </w:r>
          </w:p>
        </w:tc>
        <w:tc>
          <w:tcPr>
            <w:tcW w:type="dxa" w:w="4320"/>
            <w:vAlign w:val="center"/>
            <w:tcMar>
              <w:top w:w="90" w:type="dxa"/>
              <w:start w:w="110" w:type="dxa"/>
              <w:bottom w:w="90" w:type="dxa"/>
              <w:end w:w="110" w:type="dxa"/>
            </w:tcMar>
            <w:shd w:fill="EEF3F7"/>
          </w:tcPr>
          <w:p>
            <w:pPr>
              <w:spacing w:after="0"/>
            </w:pPr>
            <w:r/>
            <w:r>
              <w:rPr>
                <w:rFonts w:ascii="Arial" w:hAnsi="Arial"/>
                <w:b w:val="0"/>
                <w:color w:val="111111"/>
                <w:sz w:val="16"/>
              </w:rPr>
              <w:t>Measure uptake, workload, retention, and unintended harm</w:t>
            </w:r>
          </w:p>
        </w:tc>
        <w:tc>
          <w:tcPr>
            <w:tcW w:type="dxa" w:w="2880"/>
            <w:vAlign w:val="center"/>
            <w:tcMar>
              <w:top w:w="90" w:type="dxa"/>
              <w:start w:w="110" w:type="dxa"/>
              <w:bottom w:w="90" w:type="dxa"/>
              <w:end w:w="110" w:type="dxa"/>
            </w:tcMar>
            <w:shd w:fill="EEF3F7"/>
          </w:tcPr>
          <w:p>
            <w:pPr>
              <w:spacing w:after="0"/>
            </w:pPr>
            <w:r/>
            <w:r>
              <w:rPr>
                <w:rFonts w:ascii="Arial" w:hAnsi="Arial"/>
                <w:b w:val="0"/>
                <w:color w:val="111111"/>
                <w:sz w:val="16"/>
              </w:rPr>
              <w:t>Pilot impact and burden indicators</w:t>
            </w:r>
          </w:p>
        </w:tc>
      </w:tr>
      <w:tr>
        <w:tc>
          <w:tcPr>
            <w:tcW w:type="dxa" w:w="1944"/>
            <w:vAlign w:val="center"/>
            <w:tcMar>
              <w:top w:w="90" w:type="dxa"/>
              <w:start w:w="110" w:type="dxa"/>
              <w:bottom w:w="90" w:type="dxa"/>
              <w:end w:w="110" w:type="dxa"/>
            </w:tcMar>
          </w:tcPr>
          <w:p>
            <w:pPr>
              <w:spacing w:after="0"/>
            </w:pPr>
            <w:r/>
            <w:r>
              <w:rPr>
                <w:rFonts w:ascii="Arial" w:hAnsi="Arial"/>
                <w:b w:val="0"/>
                <w:color w:val="111111"/>
                <w:sz w:val="16"/>
              </w:rPr>
              <w:t>Stop conditions</w:t>
            </w:r>
          </w:p>
        </w:tc>
        <w:tc>
          <w:tcPr>
            <w:tcW w:type="dxa" w:w="4320"/>
            <w:vAlign w:val="center"/>
            <w:tcMar>
              <w:top w:w="90" w:type="dxa"/>
              <w:start w:w="110" w:type="dxa"/>
              <w:bottom w:w="90" w:type="dxa"/>
              <w:end w:w="110" w:type="dxa"/>
            </w:tcMar>
          </w:tcPr>
          <w:p>
            <w:pPr>
              <w:spacing w:after="0"/>
            </w:pPr>
            <w:r/>
            <w:r>
              <w:rPr>
                <w:rFonts w:ascii="Arial" w:hAnsi="Arial"/>
                <w:b w:val="0"/>
                <w:color w:val="111111"/>
                <w:sz w:val="16"/>
              </w:rPr>
              <w:t>Pause when performance, fairness, or governance limits fail</w:t>
            </w:r>
          </w:p>
        </w:tc>
        <w:tc>
          <w:tcPr>
            <w:tcW w:type="dxa" w:w="2880"/>
            <w:vAlign w:val="center"/>
            <w:tcMar>
              <w:top w:w="90" w:type="dxa"/>
              <w:start w:w="110" w:type="dxa"/>
              <w:bottom w:w="90" w:type="dxa"/>
              <w:end w:w="110" w:type="dxa"/>
            </w:tcMar>
          </w:tcPr>
          <w:p>
            <w:pPr>
              <w:spacing w:after="0"/>
            </w:pPr>
            <w:r/>
            <w:r>
              <w:rPr>
                <w:rFonts w:ascii="Arial" w:hAnsi="Arial"/>
                <w:b w:val="0"/>
                <w:color w:val="111111"/>
                <w:sz w:val="16"/>
              </w:rPr>
              <w:t>Documented thresholds and accountable owner</w:t>
            </w:r>
          </w:p>
        </w:tc>
      </w:tr>
    </w:tbl>
    <w:p>
      <w:pPr>
        <w:spacing w:after="0"/>
      </w:pPr>
    </w:p>
    <w:p>
      <w:pPr>
        <w:pStyle w:val="Heading2"/>
      </w:pPr>
      <w:r>
        <w:t>Pilot sequence</w:t>
      </w:r>
    </w:p>
    <w:p>
      <w:pPr>
        <w:pStyle w:val="ListBullet"/>
        <w:spacing w:after="60"/>
        <w:ind w:left="317" w:hanging="173"/>
      </w:pPr>
      <w:r>
        <w:t>Prepare: confirm governance ownership, current data definitions, capacity, and prohibited uses.</w:t>
      </w:r>
    </w:p>
    <w:p>
      <w:pPr>
        <w:pStyle w:val="ListBullet"/>
        <w:spacing w:after="60"/>
        <w:ind w:left="317" w:hanging="173"/>
      </w:pPr>
      <w:r>
        <w:t>Validate: evaluate the locked workflow on a later local cohort and recalibrate probabilities.</w:t>
      </w:r>
    </w:p>
    <w:p>
      <w:pPr>
        <w:pStyle w:val="ListBullet"/>
        <w:spacing w:after="60"/>
        <w:ind w:left="317" w:hanging="173"/>
      </w:pPr>
      <w:r>
        <w:t>Pilot: use one cohort with limited counselors and optional, low-burden outreach.</w:t>
      </w:r>
    </w:p>
    <w:p>
      <w:pPr>
        <w:pStyle w:val="ListBullet"/>
        <w:spacing w:after="60"/>
        <w:ind w:left="317" w:hanging="173"/>
      </w:pPr>
      <w:r>
        <w:t>Measure: compare support uptake, workload, retention, calibration, and subgroup outcomes.</w:t>
      </w:r>
    </w:p>
    <w:p>
      <w:pPr>
        <w:pStyle w:val="ListBullet"/>
        <w:spacing w:after="60"/>
        <w:ind w:left="317" w:hanging="173"/>
      </w:pPr>
      <w:r>
        <w:t>Gate: advance, revise, or stop using predefined performance and fairness thresholds.</w:t>
      </w:r>
    </w:p>
    <w:tbl>
      <w:tblPr>
        <w:tblW w:type="auto" w:w="0"/>
        <w:jc w:val="center"/>
        <w:tblLayout w:type="fixed"/>
        <w:tblLook w:firstColumn="1" w:firstRow="1" w:lastColumn="0" w:lastRow="0" w:noHBand="0" w:noVBand="1" w:val="04A0"/>
      </w:tblPr>
      <w:tblGrid>
        <w:gridCol w:w="10166"/>
      </w:tblGrid>
      <w:tr>
        <w:tc>
          <w:tcPr>
            <w:tcW w:type="dxa" w:w="9850"/>
            <w:shd w:fill="EEF3F7"/>
            <w:tcBorders>
              <w:left w:val="single" w:sz="24" w:space="0" w:color="17324D"/>
            </w:tcBorders>
            <w:tcMar>
              <w:top w:w="120" w:type="dxa"/>
              <w:start w:w="170" w:type="dxa"/>
              <w:bottom w:w="120" w:type="dxa"/>
              <w:end w:w="150" w:type="dxa"/>
            </w:tcMar>
          </w:tcPr>
          <w:p>
            <w:pPr>
              <w:spacing w:after="40"/>
            </w:pPr>
            <w:r/>
            <w:r>
              <w:rPr>
                <w:rFonts w:ascii="Arial" w:hAnsi="Arial"/>
                <w:b/>
                <w:color w:val="17324D"/>
                <w:sz w:val="20"/>
              </w:rPr>
              <w:t>Financial value remains unquantified</w:t>
            </w:r>
          </w:p>
          <w:p>
            <w:pPr>
              <w:spacing w:after="0" w:line="252" w:lineRule="auto"/>
            </w:pPr>
            <w:r>
              <w:rPr>
                <w:rFonts w:ascii="Arial" w:hAnsi="Arial"/>
                <w:color w:val="111111"/>
                <w:sz w:val="18"/>
              </w:rPr>
              <w:t>The public dataset does not include intervention cost or retention value. Return on investment should be estimated only after the institution supplies support costs and the pilot measures credible retention uplift.</w:t>
            </w:r>
          </w:p>
        </w:tc>
      </w:tr>
    </w:tbl>
    <w:p>
      <w:pPr>
        <w:spacing w:after="0"/>
      </w:pPr>
    </w:p>
    <w:p>
      <w:r>
        <w:br w:type="page"/>
      </w:r>
    </w:p>
    <w:p>
      <w:pPr>
        <w:pStyle w:val="Heading1"/>
      </w:pPr>
      <w:r>
        <w:t>7  Reproducibility and open-source repository</w:t>
      </w:r>
    </w:p>
    <w:p>
      <w:r>
        <w:t>Task 7 consolidates the user-edited and locally verified deliverables into an open-source-style repository. The code and notebooks use project-root discovery, so they can run from the repository root or the notebooks directory. Exact tested package versions are recorded in requirements.txt.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vAlign w:val="center"/>
            <w:tcMar>
              <w:top w:w="90" w:type="dxa"/>
              <w:start w:w="110" w:type="dxa"/>
              <w:bottom w:w="90" w:type="dxa"/>
              <w:end w:w="110" w:type="dxa"/>
            </w:tcMar>
            <w:shd w:fill="17324D"/>
          </w:tcPr>
          <w:p>
            <w:pPr>
              <w:spacing w:after="0"/>
            </w:pPr>
            <w:r/>
            <w:r>
              <w:rPr>
                <w:rFonts w:ascii="Arial" w:hAnsi="Arial"/>
                <w:b/>
                <w:color w:val="FFFFFF"/>
                <w:sz w:val="17"/>
              </w:rPr>
              <w:t>Path</w:t>
            </w:r>
          </w:p>
        </w:tc>
        <w:tc>
          <w:tcPr>
            <w:tcW w:type="dxa" w:w="7344"/>
            <w:vAlign w:val="center"/>
            <w:tcMar>
              <w:top w:w="90" w:type="dxa"/>
              <w:start w:w="110" w:type="dxa"/>
              <w:bottom w:w="90" w:type="dxa"/>
              <w:end w:w="110" w:type="dxa"/>
            </w:tcMar>
            <w:shd w:fill="17324D"/>
          </w:tcPr>
          <w:p>
            <w:pPr>
              <w:spacing w:after="0"/>
            </w:pPr>
            <w:r/>
            <w:r>
              <w:rPr>
                <w:rFonts w:ascii="Arial" w:hAnsi="Arial"/>
                <w:b/>
                <w:color w:val="FFFFFF"/>
                <w:sz w:val="17"/>
              </w:rPr>
              <w:t>Contents</w:t>
            </w:r>
          </w:p>
        </w:tc>
      </w:tr>
      <w:tr>
        <w:tc>
          <w:tcPr>
            <w:tcW w:type="dxa" w:w="1800"/>
            <w:vAlign w:val="center"/>
            <w:tcMar>
              <w:top w:w="90" w:type="dxa"/>
              <w:start w:w="110" w:type="dxa"/>
              <w:bottom w:w="90" w:type="dxa"/>
              <w:end w:w="110" w:type="dxa"/>
            </w:tcMar>
          </w:tcPr>
          <w:p>
            <w:pPr>
              <w:spacing w:after="0"/>
            </w:pPr>
            <w:r/>
            <w:r>
              <w:rPr>
                <w:rFonts w:ascii="Arial" w:hAnsi="Arial"/>
                <w:b w:val="0"/>
                <w:color w:val="111111"/>
                <w:sz w:val="16"/>
              </w:rPr>
              <w:t>src/</w:t>
            </w:r>
          </w:p>
        </w:tc>
        <w:tc>
          <w:tcPr>
            <w:tcW w:type="dxa" w:w="7344"/>
            <w:vAlign w:val="center"/>
            <w:tcMar>
              <w:top w:w="90" w:type="dxa"/>
              <w:start w:w="110" w:type="dxa"/>
              <w:bottom w:w="90" w:type="dxa"/>
              <w:end w:w="110" w:type="dxa"/>
            </w:tcMar>
          </w:tcPr>
          <w:p>
            <w:pPr>
              <w:spacing w:after="0"/>
            </w:pPr>
            <w:r/>
            <w:r>
              <w:rPr>
                <w:rFonts w:ascii="Arial" w:hAnsi="Arial"/>
                <w:b w:val="0"/>
                <w:color w:val="111111"/>
                <w:sz w:val="16"/>
              </w:rPr>
              <w:t>Reusable Task 3-5 workflows, notebook builders, execution helpers, validators, and the pipeline runner</w:t>
            </w:r>
          </w:p>
        </w:tc>
      </w:tr>
      <w:tr>
        <w:tc>
          <w:tcPr>
            <w:tcW w:type="dxa" w:w="1800"/>
            <w:vAlign w:val="center"/>
            <w:tcMar>
              <w:top w:w="90" w:type="dxa"/>
              <w:start w:w="110" w:type="dxa"/>
              <w:bottom w:w="90" w:type="dxa"/>
              <w:end w:w="110" w:type="dxa"/>
            </w:tcMar>
            <w:shd w:fill="EEF3F7"/>
          </w:tcPr>
          <w:p>
            <w:pPr>
              <w:spacing w:after="0"/>
            </w:pPr>
            <w:r/>
            <w:r>
              <w:rPr>
                <w:rFonts w:ascii="Arial" w:hAnsi="Arial"/>
                <w:b w:val="0"/>
                <w:color w:val="111111"/>
                <w:sz w:val="16"/>
              </w:rPr>
              <w:t>notebooks/</w:t>
            </w:r>
          </w:p>
        </w:tc>
        <w:tc>
          <w:tcPr>
            <w:tcW w:type="dxa" w:w="7344"/>
            <w:vAlign w:val="center"/>
            <w:tcMar>
              <w:top w:w="90" w:type="dxa"/>
              <w:start w:w="110" w:type="dxa"/>
              <w:bottom w:w="90" w:type="dxa"/>
              <w:end w:w="110" w:type="dxa"/>
            </w:tcMar>
            <w:shd w:fill="EEF3F7"/>
          </w:tcPr>
          <w:p>
            <w:pPr>
              <w:spacing w:after="0"/>
            </w:pPr>
            <w:r/>
            <w:r>
              <w:rPr>
                <w:rFonts w:ascii="Arial" w:hAnsi="Arial"/>
                <w:b w:val="0"/>
                <w:color w:val="111111"/>
                <w:sz w:val="16"/>
              </w:rPr>
              <w:t>Executed analytical notebooks and the Task 6 technical presentation notebook</w:t>
            </w:r>
          </w:p>
        </w:tc>
      </w:tr>
      <w:tr>
        <w:tc>
          <w:tcPr>
            <w:tcW w:type="dxa" w:w="1800"/>
            <w:vAlign w:val="center"/>
            <w:tcMar>
              <w:top w:w="90" w:type="dxa"/>
              <w:start w:w="110" w:type="dxa"/>
              <w:bottom w:w="90" w:type="dxa"/>
              <w:end w:w="110" w:type="dxa"/>
            </w:tcMar>
          </w:tcPr>
          <w:p>
            <w:pPr>
              <w:spacing w:after="0"/>
            </w:pPr>
            <w:r/>
            <w:r>
              <w:rPr>
                <w:rFonts w:ascii="Arial" w:hAnsi="Arial"/>
                <w:b w:val="0"/>
                <w:color w:val="111111"/>
                <w:sz w:val="16"/>
              </w:rPr>
              <w:t>data/</w:t>
            </w:r>
          </w:p>
        </w:tc>
        <w:tc>
          <w:tcPr>
            <w:tcW w:type="dxa" w:w="7344"/>
            <w:vAlign w:val="center"/>
            <w:tcMar>
              <w:top w:w="90" w:type="dxa"/>
              <w:start w:w="110" w:type="dxa"/>
              <w:bottom w:w="90" w:type="dxa"/>
              <w:end w:w="110" w:type="dxa"/>
            </w:tcMar>
          </w:tcPr>
          <w:p>
            <w:pPr>
              <w:spacing w:after="0"/>
            </w:pPr>
            <w:r/>
            <w:r>
              <w:rPr>
                <w:rFonts w:ascii="Arial" w:hAnsi="Arial"/>
                <w:b w:val="0"/>
                <w:color w:val="111111"/>
                <w:sz w:val="16"/>
              </w:rPr>
              <w:t>Public raw data, UCI metadata, processed fixed splits, and the data dictionary workbook</w:t>
            </w:r>
          </w:p>
        </w:tc>
      </w:tr>
      <w:tr>
        <w:tc>
          <w:tcPr>
            <w:tcW w:type="dxa" w:w="1800"/>
            <w:vAlign w:val="center"/>
            <w:tcMar>
              <w:top w:w="90" w:type="dxa"/>
              <w:start w:w="110" w:type="dxa"/>
              <w:bottom w:w="90" w:type="dxa"/>
              <w:end w:w="110" w:type="dxa"/>
            </w:tcMar>
            <w:shd w:fill="EEF3F7"/>
          </w:tcPr>
          <w:p>
            <w:pPr>
              <w:spacing w:after="0"/>
            </w:pPr>
            <w:r/>
            <w:r>
              <w:rPr>
                <w:rFonts w:ascii="Arial" w:hAnsi="Arial"/>
                <w:b w:val="0"/>
                <w:color w:val="111111"/>
                <w:sz w:val="16"/>
              </w:rPr>
              <w:t>models/</w:t>
            </w:r>
          </w:p>
        </w:tc>
        <w:tc>
          <w:tcPr>
            <w:tcW w:type="dxa" w:w="7344"/>
            <w:vAlign w:val="center"/>
            <w:tcMar>
              <w:top w:w="90" w:type="dxa"/>
              <w:start w:w="110" w:type="dxa"/>
              <w:bottom w:w="90" w:type="dxa"/>
              <w:end w:w="110" w:type="dxa"/>
            </w:tcMar>
            <w:shd w:fill="EEF3F7"/>
          </w:tcPr>
          <w:p>
            <w:pPr>
              <w:spacing w:after="0"/>
            </w:pPr>
            <w:r/>
            <w:r>
              <w:rPr>
                <w:rFonts w:ascii="Arial" w:hAnsi="Arial"/>
                <w:b w:val="0"/>
                <w:color w:val="111111"/>
                <w:sz w:val="16"/>
              </w:rPr>
              <w:t>Saved preprocessing, PCA, candidate models, locked model bundle, and SHAP array</w:t>
            </w:r>
          </w:p>
        </w:tc>
      </w:tr>
      <w:tr>
        <w:tc>
          <w:tcPr>
            <w:tcW w:type="dxa" w:w="1800"/>
            <w:vAlign w:val="center"/>
            <w:tcMar>
              <w:top w:w="90" w:type="dxa"/>
              <w:start w:w="110" w:type="dxa"/>
              <w:bottom w:w="90" w:type="dxa"/>
              <w:end w:w="110" w:type="dxa"/>
            </w:tcMar>
          </w:tcPr>
          <w:p>
            <w:pPr>
              <w:spacing w:after="0"/>
            </w:pPr>
            <w:r/>
            <w:r>
              <w:rPr>
                <w:rFonts w:ascii="Arial" w:hAnsi="Arial"/>
                <w:b w:val="0"/>
                <w:color w:val="111111"/>
                <w:sz w:val="16"/>
              </w:rPr>
              <w:t>configs/</w:t>
            </w:r>
          </w:p>
        </w:tc>
        <w:tc>
          <w:tcPr>
            <w:tcW w:type="dxa" w:w="7344"/>
            <w:vAlign w:val="center"/>
            <w:tcMar>
              <w:top w:w="90" w:type="dxa"/>
              <w:start w:w="110" w:type="dxa"/>
              <w:bottom w:w="90" w:type="dxa"/>
              <w:end w:w="110" w:type="dxa"/>
            </w:tcMar>
          </w:tcPr>
          <w:p>
            <w:pPr>
              <w:spacing w:after="0"/>
            </w:pPr>
            <w:r/>
            <w:r>
              <w:rPr>
                <w:rFonts w:ascii="Arial" w:hAnsi="Arial"/>
                <w:b w:val="0"/>
                <w:color w:val="111111"/>
                <w:sz w:val="16"/>
              </w:rPr>
              <w:t>Saved modeling and fairness-audit configurations</w:t>
            </w:r>
          </w:p>
        </w:tc>
      </w:tr>
      <w:tr>
        <w:tc>
          <w:tcPr>
            <w:tcW w:type="dxa" w:w="1800"/>
            <w:vAlign w:val="center"/>
            <w:tcMar>
              <w:top w:w="90" w:type="dxa"/>
              <w:start w:w="110" w:type="dxa"/>
              <w:bottom w:w="90" w:type="dxa"/>
              <w:end w:w="110" w:type="dxa"/>
            </w:tcMar>
            <w:shd w:fill="EEF3F7"/>
          </w:tcPr>
          <w:p>
            <w:pPr>
              <w:spacing w:after="0"/>
            </w:pPr>
            <w:r/>
            <w:r>
              <w:rPr>
                <w:rFonts w:ascii="Arial" w:hAnsi="Arial"/>
                <w:b w:val="0"/>
                <w:color w:val="111111"/>
                <w:sz w:val="16"/>
              </w:rPr>
              <w:t>reports/</w:t>
            </w:r>
          </w:p>
        </w:tc>
        <w:tc>
          <w:tcPr>
            <w:tcW w:type="dxa" w:w="7344"/>
            <w:vAlign w:val="center"/>
            <w:tcMar>
              <w:top w:w="90" w:type="dxa"/>
              <w:start w:w="110" w:type="dxa"/>
              <w:bottom w:w="90" w:type="dxa"/>
              <w:end w:w="110" w:type="dxa"/>
            </w:tcMar>
            <w:shd w:fill="EEF3F7"/>
          </w:tcPr>
          <w:p>
            <w:pPr>
              <w:spacing w:after="0"/>
            </w:pPr>
            <w:r/>
            <w:r>
              <w:rPr>
                <w:rFonts w:ascii="Arial" w:hAnsi="Arial"/>
                <w:b w:val="0"/>
                <w:color w:val="111111"/>
                <w:sz w:val="16"/>
              </w:rPr>
              <w:t>Task reports, HTML exports, JSON summaries, figures, tables, and this final report</w:t>
            </w:r>
          </w:p>
        </w:tc>
      </w:tr>
      <w:tr>
        <w:tc>
          <w:tcPr>
            <w:tcW w:type="dxa" w:w="1800"/>
            <w:vAlign w:val="center"/>
            <w:tcMar>
              <w:top w:w="90" w:type="dxa"/>
              <w:start w:w="110" w:type="dxa"/>
              <w:bottom w:w="90" w:type="dxa"/>
              <w:end w:w="110" w:type="dxa"/>
            </w:tcMar>
          </w:tcPr>
          <w:p>
            <w:pPr>
              <w:spacing w:after="0"/>
            </w:pPr>
            <w:r/>
            <w:r>
              <w:rPr>
                <w:rFonts w:ascii="Arial" w:hAnsi="Arial"/>
                <w:b w:val="0"/>
                <w:color w:val="111111"/>
                <w:sz w:val="16"/>
              </w:rPr>
              <w:t>presentations/</w:t>
            </w:r>
          </w:p>
        </w:tc>
        <w:tc>
          <w:tcPr>
            <w:tcW w:type="dxa" w:w="7344"/>
            <w:vAlign w:val="center"/>
            <w:tcMar>
              <w:top w:w="90" w:type="dxa"/>
              <w:start w:w="110" w:type="dxa"/>
              <w:bottom w:w="90" w:type="dxa"/>
              <w:end w:w="110" w:type="dxa"/>
            </w:tcMar>
          </w:tcPr>
          <w:p>
            <w:pPr>
              <w:spacing w:after="0"/>
            </w:pPr>
            <w:r/>
            <w:r>
              <w:rPr>
                <w:rFonts w:ascii="Arial" w:hAnsi="Arial"/>
                <w:b w:val="0"/>
                <w:color w:val="111111"/>
                <w:sz w:val="16"/>
              </w:rPr>
              <w:t>Business PowerPoint and technical HTML presentation</w:t>
            </w:r>
          </w:p>
        </w:tc>
      </w:tr>
    </w:tbl>
    <w:p>
      <w:pPr>
        <w:spacing w:after="0"/>
      </w:pPr>
    </w:p>
    <w:p>
      <w:pPr>
        <w:pStyle w:val="Heading2"/>
      </w:pPr>
      <w:r>
        <w:t>Reproduction commands</w:t>
      </w:r>
    </w:p>
    <w:tbl>
      <w:tblPr>
        <w:tblW w:type="auto" w:w="0"/>
        <w:tblLook w:firstColumn="1" w:firstRow="1" w:lastColumn="0" w:lastRow="0" w:noHBand="0" w:noVBand="1" w:val="04A0"/>
      </w:tblPr>
      <w:tblGrid>
        <w:gridCol w:w="10166"/>
      </w:tblGrid>
      <w:tr>
        <w:tc>
          <w:tcPr>
            <w:tcW w:type="dxa" w:w="10166"/>
            <w:shd w:fill="F4F6F8"/>
            <w:tcMar>
              <w:top w:w="130" w:type="dxa"/>
              <w:start w:w="150" w:type="dxa"/>
              <w:bottom w:w="130" w:type="dxa"/>
              <w:end w:w="150" w:type="dxa"/>
            </w:tcMar>
          </w:tcPr>
          <w:p>
            <w:pPr>
              <w:spacing w:after="20"/>
            </w:pPr>
            <w:r/>
            <w:r>
              <w:rPr>
                <w:rFonts w:ascii="Courier New" w:hAnsi="Courier New"/>
                <w:color w:val="17324D"/>
                <w:sz w:val="16"/>
              </w:rPr>
              <w:t>python3 -m venv .venv</w:t>
            </w:r>
          </w:p>
          <w:p>
            <w:pPr>
              <w:spacing w:after="20"/>
            </w:pPr>
            <w:r>
              <w:rPr>
                <w:rFonts w:ascii="Courier New" w:hAnsi="Courier New"/>
                <w:color w:val="17324D"/>
                <w:sz w:val="16"/>
              </w:rPr>
              <w:t>source .venv/bin/activate</w:t>
            </w:r>
          </w:p>
          <w:p>
            <w:pPr>
              <w:spacing w:after="20"/>
            </w:pPr>
            <w:r>
              <w:rPr>
                <w:rFonts w:ascii="Courier New" w:hAnsi="Courier New"/>
                <w:color w:val="17324D"/>
                <w:sz w:val="16"/>
              </w:rPr>
              <w:t>python -m pip install -r requirements.txt</w:t>
            </w:r>
          </w:p>
          <w:p>
            <w:pPr>
              <w:spacing w:after="20"/>
            </w:pPr>
            <w:r>
              <w:rPr>
                <w:rFonts w:ascii="Courier New" w:hAnsi="Courier New"/>
                <w:color w:val="17324D"/>
                <w:sz w:val="16"/>
              </w:rPr>
              <w:t>python src/run_pipeline.py --validate-only</w:t>
            </w:r>
          </w:p>
          <w:p>
            <w:pPr>
              <w:spacing w:after="20"/>
            </w:pPr>
            <w:r>
              <w:rPr>
                <w:rFonts w:ascii="Courier New" w:hAnsi="Courier New"/>
                <w:color w:val="17324D"/>
                <w:sz w:val="16"/>
              </w:rPr>
              <w:t>python src/run_pipeline.py</w:t>
            </w:r>
          </w:p>
          <w:p>
            <w:pPr>
              <w:spacing w:after="20"/>
            </w:pPr>
            <w:r>
              <w:rPr>
                <w:rFonts w:ascii="Courier New" w:hAnsi="Courier New"/>
                <w:color w:val="17324D"/>
                <w:sz w:val="16"/>
              </w:rPr>
              <w:t>python src/run_pipeline.py --execute-notebooks</w:t>
            </w:r>
          </w:p>
        </w:tc>
      </w:tr>
    </w:tbl>
    <w:p>
      <w:pPr>
        <w:spacing w:after="0"/>
      </w:pPr>
    </w:p>
    <w:p>
      <w:pPr>
        <w:pStyle w:val="Heading2"/>
      </w:pPr>
      <w:r>
        <w:t>Reproducibility controls</w:t>
      </w:r>
    </w:p>
    <w:p>
      <w:pPr>
        <w:pStyle w:val="ListBullet"/>
        <w:spacing w:after="60"/>
        <w:ind w:left="317" w:hanging="173"/>
      </w:pPr>
      <w:r>
        <w:t>Python 3.13.9 and exact tested library versions are documented.</w:t>
      </w:r>
    </w:p>
    <w:p>
      <w:pPr>
        <w:pStyle w:val="ListBullet"/>
        <w:spacing w:after="60"/>
        <w:ind w:left="317" w:hanging="173"/>
      </w:pPr>
      <w:r>
        <w:t>Random seed 42 and the fixed stratified split are saved.</w:t>
      </w:r>
    </w:p>
    <w:p>
      <w:pPr>
        <w:pStyle w:val="ListBullet"/>
        <w:spacing w:after="60"/>
        <w:ind w:left="317" w:hanging="173"/>
      </w:pPr>
      <w:r>
        <w:t>Preprocessing and feature selection are fitted inside model pipelines.</w:t>
      </w:r>
    </w:p>
    <w:p>
      <w:pPr>
        <w:pStyle w:val="ListBullet"/>
        <w:spacing w:after="60"/>
        <w:ind w:left="317" w:hanging="173"/>
      </w:pPr>
      <w:r>
        <w:t>Model comparison and threshold tuning use training data only.</w:t>
      </w:r>
    </w:p>
    <w:p>
      <w:pPr>
        <w:pStyle w:val="ListBullet"/>
        <w:spacing w:after="60"/>
        <w:ind w:left="317" w:hanging="173"/>
      </w:pPr>
      <w:r>
        <w:t>The locked test predictions, metrics, SHAP values, and fairness tables are committed.</w:t>
      </w:r>
    </w:p>
    <w:p>
      <w:pPr>
        <w:pStyle w:val="ListBullet"/>
        <w:spacing w:after="60"/>
        <w:ind w:left="317" w:hanging="173"/>
      </w:pPr>
      <w:r>
        <w:t>Validators confirm artifact completeness, calculations, notebook execution, and model-audit alignment.</w:t>
      </w:r>
    </w:p>
    <w:p>
      <w:r>
        <w:t>The repository includes an MIT license for original code, separate UCI dataset attribution under CC BY 4.0, a contribution guide, a citation note, and a gitignore file that excludes local environments, caches, and notebook checkpoints.</w:t>
      </w:r>
    </w:p>
    <w:p>
      <w:r>
        <w:br w:type="page"/>
      </w:r>
    </w:p>
    <w:p>
      <w:pPr>
        <w:pStyle w:val="Heading1"/>
      </w:pPr>
      <w:r>
        <w:t>8  Conclusion</w:t>
      </w:r>
    </w:p>
    <w:p>
      <w:r>
        <w:t>The project demonstrates a complete machine learning workflow from problem framing and public-data selection through exploratory analysis, model comparison, held-out evaluation, explainability, fairness screening, stakeholder communication, and reproducible packaging. The selected Random Forest met the predefined held-out recall, precision, and ranking targets.</w:t>
      </w:r>
    </w:p>
    <w:p>
      <w:r>
        <w:t>The technical result is promising for further study, but the governance conclusion is deliberately cautious. Fairness gaps, incomplete sensitive-attribute coverage, calibration needs, one-institution data, and uncertain intervention impact prevent unrestricted deployment. The next justified step is a monitored support pilot on a new local cohort, with explicit stop conditions and no automated adverse decisions.</w:t>
      </w:r>
    </w:p>
    <w:tbl>
      <w:tblPr>
        <w:tblW w:type="auto" w:w="0"/>
        <w:jc w:val="center"/>
        <w:tblLayout w:type="fixed"/>
        <w:tblLook w:firstColumn="1" w:firstRow="1" w:lastColumn="0" w:lastRow="0" w:noHBand="0" w:noVBand="1" w:val="04A0"/>
      </w:tblPr>
      <w:tblGrid>
        <w:gridCol w:w="10166"/>
      </w:tblGrid>
      <w:tr>
        <w:tc>
          <w:tcPr>
            <w:tcW w:type="dxa" w:w="9850"/>
            <w:shd w:fill="EAF4F3"/>
            <w:tcBorders>
              <w:left w:val="single" w:sz="24" w:space="0" w:color="157F78"/>
            </w:tcBorders>
            <w:tcMar>
              <w:top w:w="120" w:type="dxa"/>
              <w:start w:w="170" w:type="dxa"/>
              <w:bottom w:w="120" w:type="dxa"/>
              <w:end w:w="150" w:type="dxa"/>
            </w:tcMar>
          </w:tcPr>
          <w:p>
            <w:pPr>
              <w:spacing w:after="40"/>
            </w:pPr>
            <w:r/>
            <w:r>
              <w:rPr>
                <w:rFonts w:ascii="Arial" w:hAnsi="Arial"/>
                <w:b/>
                <w:color w:val="157F78"/>
                <w:sz w:val="20"/>
              </w:rPr>
              <w:t>Final decision</w:t>
            </w:r>
          </w:p>
          <w:p>
            <w:pPr>
              <w:spacing w:after="0" w:line="252" w:lineRule="auto"/>
            </w:pPr>
            <w:r>
              <w:rPr>
                <w:rFonts w:ascii="Arial" w:hAnsi="Arial"/>
                <w:color w:val="111111"/>
                <w:sz w:val="18"/>
              </w:rPr>
              <w:t>Proceed only to local validation and a controlled support pilot. Treat the risk score as one input to human review, measure whether support helps, and stop or revise the system when performance, fairness, or governance conditions are not met.</w:t>
            </w:r>
          </w:p>
        </w:tc>
      </w:tr>
    </w:tbl>
    <w:p>
      <w:pPr>
        <w:spacing w:after="0"/>
      </w:pPr>
    </w:p>
    <w:p>
      <w:pPr>
        <w:pStyle w:val="Heading1"/>
      </w:pPr>
      <w:r>
        <w:t>References</w:t>
      </w:r>
    </w:p>
    <w:p>
      <w:pPr>
        <w:pStyle w:val="ListNumber"/>
        <w:spacing w:after="80"/>
        <w:ind w:left="360" w:hanging="230"/>
      </w:pPr>
      <w:r>
        <w:t>Realinho, V., Machado, J., Baptista, L., and Martins, M. V. (2021). Predict Students' Dropout and Academic Success. UCI Machine Learning Repository. https://doi.org/10.24432/C5MC89</w:t>
      </w:r>
    </w:p>
    <w:p>
      <w:pPr>
        <w:pStyle w:val="ListNumber"/>
        <w:spacing w:after="80"/>
        <w:ind w:left="360" w:hanging="230"/>
      </w:pPr>
      <w:r>
        <w:t>UCI Machine Learning Repository. Dataset license: Creative Commons Attribution 4.0 International.</w:t>
      </w:r>
    </w:p>
    <w:p>
      <w:pPr>
        <w:pStyle w:val="ListNumber"/>
        <w:spacing w:after="80"/>
        <w:ind w:left="360" w:hanging="230"/>
      </w:pPr>
      <w:r>
        <w:t>Project artifacts. Task 1 Problem Understanding and Framing; Task 2 Data Collection and Understanding; Task 3 EDA and Feature Engineering; Task 4 Model Implementation; Task 5 Bias and Fairness Analysis; Task 6 Stakeholder Communication.</w:t>
      </w:r>
    </w:p>
    <w:p>
      <w:pPr>
        <w:pStyle w:val="ListNumber"/>
        <w:spacing w:after="80"/>
        <w:ind w:left="360" w:hanging="230"/>
      </w:pPr>
      <w:r>
        <w:t>scikit-learn documentation for cross-validation, pipeline construction, classification metrics, calibration, and model inspection.</w:t>
      </w:r>
    </w:p>
    <w:p>
      <w:pPr>
        <w:pStyle w:val="ListNumber"/>
        <w:spacing w:after="80"/>
        <w:ind w:left="360" w:hanging="230"/>
      </w:pPr>
      <w:r>
        <w:t>SHAP documentation and TreeExplainer implementation used for model-behavior explanations.</w:t>
      </w:r>
    </w:p>
    <w:p>
      <w:pPr>
        <w:pStyle w:val="Heading2"/>
      </w:pPr>
      <w:r>
        <w:t>Artifact statement</w:t>
      </w:r>
    </w:p>
    <w:p>
      <w:r>
        <w:t>This report synthesizes the project-specific analysis, tables, figures, code outputs, and author-edited task reports in this repository. Public dataset facts and third-party software are attributed above. All numerical results are traceable to committed JSON summaries and CSV tables.</w:t>
      </w:r>
    </w:p>
    <w:sectPr w:rsidR="00FC693F" w:rsidRPr="0006063C" w:rsidSect="00034616">
      <w:headerReference w:type="default" r:id="rId9"/>
      <w:footerReference w:type="default" r:id="rId10"/>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88A"/>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88A"/>
        <w:sz w:val="15"/>
      </w:rPr>
      <w:t>AIM Capstone  |  Student Dropout Risk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b w:val="0"/>
      <w:i/>
      <w:iCs/>
      <w:color w:val="6678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ompact">
    <w:name w:val="Caption Compact"/>
    <w:pPr>
      <w:spacing w:before="60" w:after="140"/>
    </w:pPr>
    <w:rPr>
      <w:rFonts w:ascii="Arial" w:hAnsi="Arial"/>
      <w:i/>
      <w:color w:val="66788A"/>
      <w:sz w:val="16"/>
    </w:rPr>
  </w:style>
  <w:style w:type="paragraph" w:customStyle="1" w:styleId="SmallNote">
    <w:name w:val="Small Note"/>
    <w:pPr>
      <w:spacing w:after="80"/>
    </w:pPr>
    <w:rPr>
      <w:rFonts w:ascii="Arial" w:hAnsi="Arial"/>
      <w:color w:val="66788A"/>
      <w:sz w:val="16"/>
    </w:rPr>
  </w:style>
  <w:style w:type="paragraph" w:customStyle="1" w:styleId="Metric">
    <w:name w:val="Metric"/>
    <w:pPr>
      <w:spacing w:after="0"/>
    </w:pPr>
    <w:rPr>
      <w:rFonts w:ascii="Arial" w:hAnsi="Arial"/>
      <w:b/>
      <w:color w:val="157F78"/>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Dropout Risk Capstone Final Report</dc:title>
  <dc:subject>AIM capstone project</dc:subject>
  <dc:creator>AIM Capstone Project</dc:creator>
  <cp:keywords>student dropout, machine learning, fairness,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