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Problem Understanding and Framing</w:t>
      </w:r>
    </w:p>
    <w:p w:rsidR="00000000" w:rsidDel="00000000" w:rsidP="00000000" w:rsidRDefault="00000000" w:rsidRPr="00000000" w14:paraId="00000002">
      <w:pPr>
        <w:pStyle w:val="Subtitle"/>
        <w:rPr/>
      </w:pPr>
      <w:r w:rsidDel="00000000" w:rsidR="00000000" w:rsidRPr="00000000">
        <w:rPr>
          <w:rtl w:val="0"/>
        </w:rPr>
        <w:t xml:space="preserve">Predicting university student dropout risk for targeted, supportive intervention</w:t>
      </w:r>
    </w:p>
    <w:p w:rsidR="00000000" w:rsidDel="00000000" w:rsidP="00000000" w:rsidRDefault="00000000" w:rsidRPr="00000000" w14:paraId="00000003">
      <w:pPr>
        <w:pBdr>
          <w:bottom w:color="2f75b5" w:space="1" w:sz="12" w:val="single"/>
        </w:pBdr>
        <w:spacing w:after="160" w:lineRule="auto"/>
        <w:rPr/>
      </w:pPr>
      <w:r w:rsidDel="00000000" w:rsidR="00000000" w:rsidRPr="00000000">
        <w:rPr>
          <w:rtl w:val="0"/>
        </w:rPr>
      </w:r>
    </w:p>
    <w:tbl>
      <w:tblPr>
        <w:tblStyle w:val="Table1"/>
        <w:tblW w:w="9792.0" w:type="dxa"/>
        <w:jc w:val="center"/>
        <w:tblLayout w:type="fixed"/>
        <w:tblLook w:val="0400"/>
      </w:tblPr>
      <w:tblGrid>
        <w:gridCol w:w="2088"/>
        <w:gridCol w:w="7704"/>
        <w:tblGridChange w:id="0">
          <w:tblGrid>
            <w:gridCol w:w="2088"/>
            <w:gridCol w:w="7704"/>
          </w:tblGrid>
        </w:tblGridChange>
      </w:tblGrid>
      <w:tr>
        <w:trPr>
          <w:cantSplit w:val="1"/>
          <w:tblHeader w:val="0"/>
        </w:trPr>
        <w:tc>
          <w:tcPr>
            <w:shd w:fill="dce6f1" w:val="clear"/>
            <w:tcMar>
              <w:top w:w="90.0" w:type="dxa"/>
              <w:bottom w:w="90.0" w:type="dxa"/>
            </w:tcMar>
            <w:vAlign w:val="center"/>
          </w:tcPr>
          <w:p w:rsidR="00000000" w:rsidDel="00000000" w:rsidP="00000000" w:rsidRDefault="00000000" w:rsidRPr="00000000" w14:paraId="00000004">
            <w:pPr>
              <w:rPr/>
            </w:pPr>
            <w:r w:rsidDel="00000000" w:rsidR="00000000" w:rsidRPr="00000000">
              <w:rPr>
                <w:b w:val="1"/>
                <w:bCs w:val="1"/>
                <w:color w:val="17365d"/>
                <w:rtl w:val="0"/>
              </w:rPr>
              <w:t xml:space="preserve">Domain</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05">
            <w:pPr>
              <w:rPr/>
            </w:pPr>
            <w:r w:rsidDel="00000000" w:rsidR="00000000" w:rsidRPr="00000000">
              <w:rPr>
                <w:rtl w:val="0"/>
              </w:rPr>
              <w:t xml:space="preserve">Education - student success and retention</w:t>
            </w:r>
          </w:p>
        </w:tc>
      </w:tr>
      <w:tr>
        <w:trPr>
          <w:cantSplit w:val="1"/>
          <w:tblHeader w:val="0"/>
        </w:trPr>
        <w:tc>
          <w:tcPr>
            <w:shd w:fill="dce6f1" w:val="clear"/>
            <w:tcMar>
              <w:top w:w="90.0" w:type="dxa"/>
              <w:bottom w:w="90.0" w:type="dxa"/>
            </w:tcMar>
            <w:vAlign w:val="center"/>
          </w:tcPr>
          <w:p w:rsidR="00000000" w:rsidDel="00000000" w:rsidP="00000000" w:rsidRDefault="00000000" w:rsidRPr="00000000" w14:paraId="00000006">
            <w:pPr>
              <w:rPr/>
            </w:pPr>
            <w:r w:rsidDel="00000000" w:rsidR="00000000" w:rsidRPr="00000000">
              <w:rPr>
                <w:b w:val="1"/>
                <w:bCs w:val="1"/>
                <w:color w:val="17365d"/>
                <w:rtl w:val="0"/>
              </w:rPr>
              <w:t xml:space="preserve">Decision point</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007">
            <w:pPr>
              <w:rPr/>
            </w:pPr>
            <w:r w:rsidDel="00000000" w:rsidR="00000000" w:rsidRPr="00000000">
              <w:rPr>
                <w:rtl w:val="0"/>
              </w:rPr>
              <w:t xml:space="preserve">End of the first semester</w:t>
            </w:r>
          </w:p>
        </w:tc>
      </w:tr>
      <w:tr>
        <w:trPr>
          <w:cantSplit w:val="1"/>
          <w:tblHeader w:val="0"/>
        </w:trPr>
        <w:tc>
          <w:tcPr>
            <w:shd w:fill="dce6f1" w:val="clear"/>
            <w:tcMar>
              <w:top w:w="90.0" w:type="dxa"/>
              <w:bottom w:w="90.0" w:type="dxa"/>
            </w:tcMar>
            <w:vAlign w:val="center"/>
          </w:tcPr>
          <w:p w:rsidR="00000000" w:rsidDel="00000000" w:rsidP="00000000" w:rsidRDefault="00000000" w:rsidRPr="00000000" w14:paraId="00000008">
            <w:pPr>
              <w:rPr/>
            </w:pPr>
            <w:r w:rsidDel="00000000" w:rsidR="00000000" w:rsidRPr="00000000">
              <w:rPr>
                <w:b w:val="1"/>
                <w:bCs w:val="1"/>
                <w:color w:val="17365d"/>
                <w:rtl w:val="0"/>
              </w:rPr>
              <w:t xml:space="preserve">Task type</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09">
            <w:pPr>
              <w:rPr/>
            </w:pPr>
            <w:r w:rsidDel="00000000" w:rsidR="00000000" w:rsidRPr="00000000">
              <w:rPr>
                <w:rtl w:val="0"/>
              </w:rPr>
              <w:t xml:space="preserve">Supervised multiclass classification with a dropout-risk score</w:t>
            </w:r>
          </w:p>
        </w:tc>
      </w:tr>
      <w:tr>
        <w:trPr>
          <w:cantSplit w:val="1"/>
          <w:tblHeader w:val="0"/>
        </w:trPr>
        <w:tc>
          <w:tcPr>
            <w:shd w:fill="dce6f1" w:val="clear"/>
            <w:tcMar>
              <w:top w:w="90.0" w:type="dxa"/>
              <w:bottom w:w="90.0" w:type="dxa"/>
            </w:tcMar>
            <w:vAlign w:val="center"/>
          </w:tcPr>
          <w:p w:rsidR="00000000" w:rsidDel="00000000" w:rsidP="00000000" w:rsidRDefault="00000000" w:rsidRPr="00000000" w14:paraId="0000000A">
            <w:pPr>
              <w:rPr/>
            </w:pPr>
            <w:r w:rsidDel="00000000" w:rsidR="00000000" w:rsidRPr="00000000">
              <w:rPr>
                <w:b w:val="1"/>
                <w:bCs w:val="1"/>
                <w:color w:val="17365d"/>
                <w:rtl w:val="0"/>
              </w:rPr>
              <w:t xml:space="preserve">Primary user</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00B">
            <w:pPr>
              <w:rPr/>
            </w:pPr>
            <w:r w:rsidDel="00000000" w:rsidR="00000000" w:rsidRPr="00000000">
              <w:rPr>
                <w:rtl w:val="0"/>
              </w:rPr>
              <w:t xml:space="preserve">Student support and academic advising teams</w:t>
            </w:r>
          </w:p>
        </w:tc>
      </w:tr>
    </w:tbl>
    <w:p w:rsidR="00000000" w:rsidDel="00000000" w:rsidP="00000000" w:rsidRDefault="00000000" w:rsidRPr="00000000" w14:paraId="0000000C">
      <w:pPr>
        <w:pStyle w:val="Heading1"/>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capstone frames student dropout as an early-warning decision problem. The proposed model estimates each student's probability of the Dropout outcome after first-semester results become available. The score is used to prioritize limited outreach capacity for counseling, tutoring, academic advising, and financial-support triage. It is not used to deny services, discipline students, or make an irreversible automated decision.</w:t>
      </w:r>
    </w:p>
    <w:p w:rsidR="00000000" w:rsidDel="00000000" w:rsidP="00000000" w:rsidRDefault="00000000" w:rsidRPr="00000000" w14:paraId="0000000E">
      <w:pPr>
        <w:rPr/>
      </w:pPr>
      <w:r w:rsidDel="00000000" w:rsidR="00000000" w:rsidRPr="00000000">
        <w:rPr>
          <w:rtl w:val="0"/>
        </w:rPr>
        <w:t xml:space="preserve">The modeling objective reflects the higher cost of missing a student who may need support while keeping the alert list usable. The numeric thresholds in this report are explicit proof-of-concept criteria, not claims about a university's actual staffing capacity. They are fixed before model selection and can be replaced with locally approved values during a pilot.</w:t>
      </w:r>
    </w:p>
    <w:p w:rsidR="00000000" w:rsidDel="00000000" w:rsidP="00000000" w:rsidRDefault="00000000" w:rsidRPr="00000000" w14:paraId="0000000F">
      <w:pPr>
        <w:pStyle w:val="Heading1"/>
        <w:rPr/>
      </w:pPr>
      <w:r w:rsidDel="00000000" w:rsidR="00000000" w:rsidRPr="00000000">
        <w:rPr>
          <w:rtl w:val="0"/>
        </w:rPr>
        <w:t xml:space="preserve">1. Business problem and decision</w:t>
      </w:r>
    </w:p>
    <w:p w:rsidR="00000000" w:rsidDel="00000000" w:rsidP="00000000" w:rsidRDefault="00000000" w:rsidRPr="00000000" w14:paraId="00000010">
      <w:pPr>
        <w:rPr/>
      </w:pPr>
      <w:r w:rsidDel="00000000" w:rsidR="00000000" w:rsidRPr="00000000">
        <w:rPr>
          <w:rtl w:val="0"/>
        </w:rPr>
        <w:t xml:space="preserve">Universities often have limited staff and resources for student-retention programs. When support is offered only after a student has disengaged, the opportunity for a timely intervention may already have narrowed. The operational question is therefore: which students should receive proactive, human-reviewed support after the first semester?</w:t>
      </w:r>
    </w:p>
    <w:tbl>
      <w:tblPr>
        <w:tblStyle w:val="Table2"/>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011">
            <w:pPr>
              <w:rPr/>
            </w:pPr>
            <w:r w:rsidDel="00000000" w:rsidR="00000000" w:rsidRPr="00000000">
              <w:rPr>
                <w:b w:val="1"/>
                <w:bCs w:val="1"/>
                <w:color w:val="ffffff"/>
                <w:rtl w:val="0"/>
              </w:rPr>
              <w:t xml:space="preserve">Element</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12">
            <w:pPr>
              <w:rPr/>
            </w:pPr>
            <w:r w:rsidDel="00000000" w:rsidR="00000000" w:rsidRPr="00000000">
              <w:rPr>
                <w:b w:val="1"/>
                <w:bCs w:val="1"/>
                <w:color w:val="ffffff"/>
                <w:rtl w:val="0"/>
              </w:rPr>
              <w:t xml:space="preserve">Definition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sz w:val="17"/>
                <w:szCs w:val="17"/>
                <w:rtl w:val="0"/>
              </w:rPr>
              <w:t xml:space="preserve">Decision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sz w:val="17"/>
                <w:szCs w:val="17"/>
                <w:rtl w:val="0"/>
              </w:rPr>
              <w:t xml:space="preserve">Rank students by estimated dropout risk and create a manageable outreach list.</w:t>
            </w:r>
            <w:r w:rsidDel="00000000" w:rsidR="00000000" w:rsidRPr="00000000">
              <w:rPr>
                <w:rtl w:val="0"/>
              </w:rPr>
            </w:r>
          </w:p>
        </w:tc>
      </w:tr>
      <w:tr>
        <w:trPr>
          <w:cantSplit w:val="1"/>
          <w:tblHeader w:val="0"/>
        </w:trPr>
        <w:tc>
          <w:tcPr>
            <w:shd w:fill="f3f7fb" w:val="clear"/>
            <w:tcMar>
              <w:top w:w="70.0" w:type="dxa"/>
              <w:bottom w:w="70.0" w:type="dxa"/>
            </w:tcM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sz w:val="17"/>
                <w:szCs w:val="17"/>
                <w:rtl w:val="0"/>
              </w:rPr>
              <w:t xml:space="preserve">Action</w:t>
            </w:r>
            <w:r w:rsidDel="00000000" w:rsidR="00000000" w:rsidRPr="00000000">
              <w:rPr>
                <w:rtl w:val="0"/>
              </w:rPr>
            </w:r>
          </w:p>
        </w:tc>
        <w:tc>
          <w:tcPr>
            <w:shd w:fill="f3f7fb" w:val="clear"/>
            <w:tcMar>
              <w:top w:w="70.0" w:type="dxa"/>
              <w:bottom w:w="70.0" w:type="dxa"/>
            </w:tcMar>
            <w:vAlign w:val="top"/>
          </w:tcPr>
          <w:p w:rsidR="00000000" w:rsidDel="00000000" w:rsidP="00000000" w:rsidRDefault="00000000" w:rsidRPr="00000000" w14:paraId="00000016">
            <w:pPr>
              <w:spacing w:after="0" w:lineRule="auto"/>
              <w:rPr/>
            </w:pPr>
            <w:r w:rsidDel="00000000" w:rsidR="00000000" w:rsidRPr="00000000">
              <w:rPr>
                <w:rFonts w:ascii="Arial" w:cs="Arial" w:eastAsia="Arial" w:hAnsi="Arial"/>
                <w:sz w:val="17"/>
                <w:szCs w:val="17"/>
                <w:rtl w:val="0"/>
              </w:rPr>
              <w:t xml:space="preserve">Offer supportive contact, needs assessment, advising, tutoring, or financial-aid referral.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7">
            <w:pPr>
              <w:spacing w:after="0" w:lineRule="auto"/>
              <w:rPr/>
            </w:pPr>
            <w:r w:rsidDel="00000000" w:rsidR="00000000" w:rsidRPr="00000000">
              <w:rPr>
                <w:rFonts w:ascii="Arial" w:cs="Arial" w:eastAsia="Arial" w:hAnsi="Arial"/>
                <w:sz w:val="17"/>
                <w:szCs w:val="17"/>
                <w:rtl w:val="0"/>
              </w:rPr>
              <w:t xml:space="preserve">Beneficiaries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8">
            <w:pPr>
              <w:spacing w:after="0" w:lineRule="auto"/>
              <w:rPr/>
            </w:pPr>
            <w:r w:rsidDel="00000000" w:rsidR="00000000" w:rsidRPr="00000000">
              <w:rPr>
                <w:rFonts w:ascii="Arial" w:cs="Arial" w:eastAsia="Arial" w:hAnsi="Arial"/>
                <w:sz w:val="17"/>
                <w:szCs w:val="17"/>
                <w:rtl w:val="0"/>
              </w:rPr>
              <w:t xml:space="preserve">Students who may benefit from earlier assistance; support teams that need consistent prioritization.</w:t>
            </w:r>
            <w:r w:rsidDel="00000000" w:rsidR="00000000" w:rsidRPr="00000000">
              <w:rPr>
                <w:rtl w:val="0"/>
              </w:rPr>
            </w:r>
          </w:p>
        </w:tc>
      </w:tr>
      <w:tr>
        <w:trPr>
          <w:cantSplit w:val="1"/>
          <w:tblHeader w:val="0"/>
        </w:trPr>
        <w:tc>
          <w:tcPr>
            <w:shd w:fill="f3f7fb" w:val="clear"/>
            <w:tcMar>
              <w:top w:w="70.0" w:type="dxa"/>
              <w:bottom w:w="70.0" w:type="dxa"/>
            </w:tcMar>
            <w:vAlign w:val="top"/>
          </w:tcPr>
          <w:p w:rsidR="00000000" w:rsidDel="00000000" w:rsidP="00000000" w:rsidRDefault="00000000" w:rsidRPr="00000000" w14:paraId="00000019">
            <w:pPr>
              <w:spacing w:after="0" w:lineRule="auto"/>
              <w:rPr/>
            </w:pPr>
            <w:r w:rsidDel="00000000" w:rsidR="00000000" w:rsidRPr="00000000">
              <w:rPr>
                <w:rFonts w:ascii="Arial" w:cs="Arial" w:eastAsia="Arial" w:hAnsi="Arial"/>
                <w:sz w:val="17"/>
                <w:szCs w:val="17"/>
                <w:rtl w:val="0"/>
              </w:rPr>
              <w:t xml:space="preserve">Planning scenario</w:t>
            </w:r>
            <w:r w:rsidDel="00000000" w:rsidR="00000000" w:rsidRPr="00000000">
              <w:rPr>
                <w:rtl w:val="0"/>
              </w:rPr>
            </w:r>
          </w:p>
        </w:tc>
        <w:tc>
          <w:tcPr>
            <w:shd w:fill="f3f7fb" w:val="clear"/>
            <w:tcMar>
              <w:top w:w="70.0" w:type="dxa"/>
              <w:bottom w:w="70.0" w:type="dxa"/>
            </w:tcMar>
            <w:vAlign w:val="top"/>
          </w:tcPr>
          <w:p w:rsidR="00000000" w:rsidDel="00000000" w:rsidP="00000000" w:rsidRDefault="00000000" w:rsidRPr="00000000" w14:paraId="0000001A">
            <w:pPr>
              <w:spacing w:after="0" w:lineRule="auto"/>
              <w:rPr/>
            </w:pPr>
            <w:r w:rsidDel="00000000" w:rsidR="00000000" w:rsidRPr="00000000">
              <w:rPr>
                <w:rFonts w:ascii="Arial" w:cs="Arial" w:eastAsia="Arial" w:hAnsi="Arial"/>
                <w:sz w:val="17"/>
                <w:szCs w:val="17"/>
                <w:rtl w:val="0"/>
              </w:rPr>
              <w:t xml:space="preserve">Assume staff can review 30% of the eligible cohort. This is an illustrative capstone capacity, not a measured institutional limit.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B">
            <w:pPr>
              <w:spacing w:after="0" w:lineRule="auto"/>
              <w:rPr/>
            </w:pPr>
            <w:r w:rsidDel="00000000" w:rsidR="00000000" w:rsidRPr="00000000">
              <w:rPr>
                <w:rFonts w:ascii="Arial" w:cs="Arial" w:eastAsia="Arial" w:hAnsi="Arial"/>
                <w:sz w:val="17"/>
                <w:szCs w:val="17"/>
                <w:rtl w:val="0"/>
              </w:rPr>
              <w:t xml:space="preserve">Safeguard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C">
            <w:pPr>
              <w:spacing w:after="0" w:lineRule="auto"/>
              <w:rPr/>
            </w:pPr>
            <w:r w:rsidDel="00000000" w:rsidR="00000000" w:rsidRPr="00000000">
              <w:rPr>
                <w:rFonts w:ascii="Arial" w:cs="Arial" w:eastAsia="Arial" w:hAnsi="Arial"/>
                <w:sz w:val="17"/>
                <w:szCs w:val="17"/>
                <w:rtl w:val="0"/>
              </w:rPr>
              <w:t xml:space="preserve">A trained staff member reviews alerts; the score never triggers an adverse action on its own.</w:t>
            </w:r>
            <w:r w:rsidDel="00000000" w:rsidR="00000000" w:rsidRPr="00000000">
              <w:rPr>
                <w:rtl w:val="0"/>
              </w:rPr>
            </w:r>
          </w:p>
        </w:tc>
      </w:tr>
    </w:tbl>
    <w:p w:rsidR="00000000" w:rsidDel="00000000" w:rsidP="00000000" w:rsidRDefault="00000000" w:rsidRPr="00000000" w14:paraId="0000001D">
      <w:pPr>
        <w:spacing w:after="0" w:lineRule="auto"/>
        <w:rPr/>
      </w:pP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2. Data science formulation</w:t>
      </w:r>
    </w:p>
    <w:p w:rsidR="00000000" w:rsidDel="00000000" w:rsidP="00000000" w:rsidRDefault="00000000" w:rsidRPr="00000000" w14:paraId="00000020">
      <w:pPr>
        <w:rPr/>
      </w:pPr>
      <w:r w:rsidDel="00000000" w:rsidR="00000000" w:rsidRPr="00000000">
        <w:rPr>
          <w:rtl w:val="0"/>
        </w:rPr>
        <w:t xml:space="preserve">The analytical task is supervised multiclass classification with three outcomes: Dropout, Enrolled, and Graduate. Although all three probabilities are produced, the operational signal is P(Dropout), which provides a continuous risk ranking for triage.</w:t>
      </w:r>
    </w:p>
    <w:tbl>
      <w:tblPr>
        <w:tblStyle w:val="Table3"/>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021">
            <w:pPr>
              <w:rPr/>
            </w:pPr>
            <w:r w:rsidDel="00000000" w:rsidR="00000000" w:rsidRPr="00000000">
              <w:rPr>
                <w:b w:val="1"/>
                <w:bCs w:val="1"/>
                <w:color w:val="ffffff"/>
                <w:rtl w:val="0"/>
              </w:rPr>
              <w:t xml:space="preserve">Component</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22">
            <w:pPr>
              <w:rPr/>
            </w:pPr>
            <w:r w:rsidDel="00000000" w:rsidR="00000000" w:rsidRPr="00000000">
              <w:rPr>
                <w:b w:val="1"/>
                <w:bCs w:val="1"/>
                <w:color w:val="ffffff"/>
                <w:rtl w:val="0"/>
              </w:rPr>
              <w:t xml:space="preserve">Specification</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23">
            <w:pPr>
              <w:rPr/>
            </w:pPr>
            <w:r w:rsidDel="00000000" w:rsidR="00000000" w:rsidRPr="00000000">
              <w:rPr>
                <w:b w:val="1"/>
                <w:bCs w:val="1"/>
                <w:color w:val="ffffff"/>
                <w:rtl w:val="0"/>
              </w:rPr>
              <w:t xml:space="preserve">Rationale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4">
            <w:pPr>
              <w:spacing w:after="0" w:lineRule="auto"/>
              <w:rPr/>
            </w:pPr>
            <w:r w:rsidDel="00000000" w:rsidR="00000000" w:rsidRPr="00000000">
              <w:rPr>
                <w:rFonts w:ascii="Arial" w:cs="Arial" w:eastAsia="Arial" w:hAnsi="Arial"/>
                <w:sz w:val="16"/>
                <w:szCs w:val="16"/>
                <w:rtl w:val="0"/>
              </w:rPr>
              <w:t xml:space="preserve">Unit of analysis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5">
            <w:pPr>
              <w:spacing w:after="0" w:lineRule="auto"/>
              <w:rPr/>
            </w:pPr>
            <w:r w:rsidDel="00000000" w:rsidR="00000000" w:rsidRPr="00000000">
              <w:rPr>
                <w:rFonts w:ascii="Arial" w:cs="Arial" w:eastAsia="Arial" w:hAnsi="Arial"/>
                <w:sz w:val="16"/>
                <w:szCs w:val="16"/>
                <w:rtl w:val="0"/>
              </w:rPr>
              <w:t xml:space="preserve">One student record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6">
            <w:pPr>
              <w:spacing w:after="0" w:lineRule="auto"/>
              <w:rPr/>
            </w:pPr>
            <w:r w:rsidDel="00000000" w:rsidR="00000000" w:rsidRPr="00000000">
              <w:rPr>
                <w:rFonts w:ascii="Arial" w:cs="Arial" w:eastAsia="Arial" w:hAnsi="Arial"/>
                <w:sz w:val="16"/>
                <w:szCs w:val="16"/>
                <w:rtl w:val="0"/>
              </w:rPr>
              <w:t xml:space="preserve">Matches the case reviewed by support staff.</w:t>
            </w:r>
            <w:r w:rsidDel="00000000" w:rsidR="00000000" w:rsidRPr="00000000">
              <w:rPr>
                <w:rtl w:val="0"/>
              </w:rPr>
            </w:r>
          </w:p>
        </w:tc>
      </w:tr>
      <w:tr>
        <w:trPr>
          <w:cantSplit w:val="1"/>
          <w:tblHeader w:val="0"/>
        </w:trPr>
        <w:tc>
          <w:tcPr>
            <w:shd w:fill="f3f7fb" w:val="clear"/>
            <w:tcMar>
              <w:top w:w="70.0" w:type="dxa"/>
              <w:bottom w:w="70.0" w:type="dxa"/>
            </w:tcMar>
            <w:vAlign w:val="top"/>
          </w:tcPr>
          <w:p w:rsidR="00000000" w:rsidDel="00000000" w:rsidP="00000000" w:rsidRDefault="00000000" w:rsidRPr="00000000" w14:paraId="00000027">
            <w:pPr>
              <w:spacing w:after="0" w:lineRule="auto"/>
              <w:rPr/>
            </w:pPr>
            <w:r w:rsidDel="00000000" w:rsidR="00000000" w:rsidRPr="00000000">
              <w:rPr>
                <w:rFonts w:ascii="Arial" w:cs="Arial" w:eastAsia="Arial" w:hAnsi="Arial"/>
                <w:sz w:val="16"/>
                <w:szCs w:val="16"/>
                <w:rtl w:val="0"/>
              </w:rPr>
              <w:t xml:space="preserve">Prediction point</w:t>
            </w:r>
            <w:r w:rsidDel="00000000" w:rsidR="00000000" w:rsidRPr="00000000">
              <w:rPr>
                <w:rtl w:val="0"/>
              </w:rPr>
            </w:r>
          </w:p>
        </w:tc>
        <w:tc>
          <w:tcPr>
            <w:shd w:fill="f3f7fb" w:val="clear"/>
            <w:tcMar>
              <w:top w:w="70.0" w:type="dxa"/>
              <w:bottom w:w="70.0" w:type="dxa"/>
            </w:tcMar>
            <w:vAlign w:val="top"/>
          </w:tcPr>
          <w:p w:rsidR="00000000" w:rsidDel="00000000" w:rsidP="00000000" w:rsidRDefault="00000000" w:rsidRPr="00000000" w14:paraId="00000028">
            <w:pPr>
              <w:spacing w:after="0" w:lineRule="auto"/>
              <w:rPr/>
            </w:pPr>
            <w:r w:rsidDel="00000000" w:rsidR="00000000" w:rsidRPr="00000000">
              <w:rPr>
                <w:rFonts w:ascii="Arial" w:cs="Arial" w:eastAsia="Arial" w:hAnsi="Arial"/>
                <w:sz w:val="16"/>
                <w:szCs w:val="16"/>
                <w:rtl w:val="0"/>
              </w:rPr>
              <w:t xml:space="preserve">End of first semester</w:t>
            </w:r>
            <w:r w:rsidDel="00000000" w:rsidR="00000000" w:rsidRPr="00000000">
              <w:rPr>
                <w:rtl w:val="0"/>
              </w:rPr>
            </w:r>
          </w:p>
        </w:tc>
        <w:tc>
          <w:tcPr>
            <w:shd w:fill="f3f7fb" w:val="clear"/>
            <w:tcMar>
              <w:top w:w="70.0" w:type="dxa"/>
              <w:bottom w:w="70.0" w:type="dxa"/>
            </w:tcMar>
            <w:vAlign w:val="top"/>
          </w:tcPr>
          <w:p w:rsidR="00000000" w:rsidDel="00000000" w:rsidP="00000000" w:rsidRDefault="00000000" w:rsidRPr="00000000" w14:paraId="00000029">
            <w:pPr>
              <w:spacing w:after="0" w:lineRule="auto"/>
              <w:rPr/>
            </w:pPr>
            <w:r w:rsidDel="00000000" w:rsidR="00000000" w:rsidRPr="00000000">
              <w:rPr>
                <w:rFonts w:ascii="Arial" w:cs="Arial" w:eastAsia="Arial" w:hAnsi="Arial"/>
                <w:sz w:val="16"/>
                <w:szCs w:val="16"/>
                <w:rtl w:val="0"/>
              </w:rPr>
              <w:t xml:space="preserve">Balances early action with the availability of meaningful academic signals.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A">
            <w:pPr>
              <w:spacing w:after="0" w:lineRule="auto"/>
              <w:rPr/>
            </w:pPr>
            <w:r w:rsidDel="00000000" w:rsidR="00000000" w:rsidRPr="00000000">
              <w:rPr>
                <w:rFonts w:ascii="Arial" w:cs="Arial" w:eastAsia="Arial" w:hAnsi="Arial"/>
                <w:sz w:val="16"/>
                <w:szCs w:val="16"/>
                <w:rtl w:val="0"/>
              </w:rPr>
              <w:t xml:space="preserve">Target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B">
            <w:pPr>
              <w:spacing w:after="0" w:lineRule="auto"/>
              <w:rPr/>
            </w:pPr>
            <w:r w:rsidDel="00000000" w:rsidR="00000000" w:rsidRPr="00000000">
              <w:rPr>
                <w:rFonts w:ascii="Arial" w:cs="Arial" w:eastAsia="Arial" w:hAnsi="Arial"/>
                <w:sz w:val="16"/>
                <w:szCs w:val="16"/>
                <w:rtl w:val="0"/>
              </w:rPr>
              <w:t xml:space="preserve">Student outcome: Dropout, Enrolled, or Graduate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C">
            <w:pPr>
              <w:spacing w:after="0" w:lineRule="auto"/>
              <w:rPr/>
            </w:pPr>
            <w:r w:rsidDel="00000000" w:rsidR="00000000" w:rsidRPr="00000000">
              <w:rPr>
                <w:rFonts w:ascii="Arial" w:cs="Arial" w:eastAsia="Arial" w:hAnsi="Arial"/>
                <w:sz w:val="16"/>
                <w:szCs w:val="16"/>
                <w:rtl w:val="0"/>
              </w:rPr>
              <w:t xml:space="preserve">Preserves the distinction between continuing and completed students.</w:t>
            </w:r>
            <w:r w:rsidDel="00000000" w:rsidR="00000000" w:rsidRPr="00000000">
              <w:rPr>
                <w:rtl w:val="0"/>
              </w:rPr>
            </w:r>
          </w:p>
        </w:tc>
      </w:tr>
      <w:tr>
        <w:trPr>
          <w:cantSplit w:val="1"/>
          <w:tblHeader w:val="0"/>
        </w:trPr>
        <w:tc>
          <w:tcPr>
            <w:shd w:fill="f3f7fb" w:val="clear"/>
            <w:tcMar>
              <w:top w:w="70.0" w:type="dxa"/>
              <w:bottom w:w="70.0" w:type="dxa"/>
            </w:tcMar>
            <w:vAlign w:val="top"/>
          </w:tcPr>
          <w:p w:rsidR="00000000" w:rsidDel="00000000" w:rsidP="00000000" w:rsidRDefault="00000000" w:rsidRPr="00000000" w14:paraId="0000002D">
            <w:pPr>
              <w:spacing w:after="0" w:lineRule="auto"/>
              <w:rPr/>
            </w:pPr>
            <w:r w:rsidDel="00000000" w:rsidR="00000000" w:rsidRPr="00000000">
              <w:rPr>
                <w:rFonts w:ascii="Arial" w:cs="Arial" w:eastAsia="Arial" w:hAnsi="Arial"/>
                <w:sz w:val="16"/>
                <w:szCs w:val="16"/>
                <w:rtl w:val="0"/>
              </w:rPr>
              <w:t xml:space="preserve">Operational output</w:t>
            </w:r>
            <w:r w:rsidDel="00000000" w:rsidR="00000000" w:rsidRPr="00000000">
              <w:rPr>
                <w:rtl w:val="0"/>
              </w:rPr>
            </w:r>
          </w:p>
        </w:tc>
        <w:tc>
          <w:tcPr>
            <w:shd w:fill="f3f7fb" w:val="clear"/>
            <w:tcMar>
              <w:top w:w="70.0" w:type="dxa"/>
              <w:bottom w:w="70.0" w:type="dxa"/>
            </w:tcMar>
            <w:vAlign w:val="top"/>
          </w:tcPr>
          <w:p w:rsidR="00000000" w:rsidDel="00000000" w:rsidP="00000000" w:rsidRDefault="00000000" w:rsidRPr="00000000" w14:paraId="0000002E">
            <w:pPr>
              <w:spacing w:after="0" w:lineRule="auto"/>
              <w:rPr/>
            </w:pPr>
            <w:r w:rsidDel="00000000" w:rsidR="00000000" w:rsidRPr="00000000">
              <w:rPr>
                <w:rFonts w:ascii="Arial" w:cs="Arial" w:eastAsia="Arial" w:hAnsi="Arial"/>
                <w:sz w:val="16"/>
                <w:szCs w:val="16"/>
                <w:rtl w:val="0"/>
              </w:rPr>
              <w:t xml:space="preserve">Probability of Dropout plus risk rank</w:t>
            </w:r>
            <w:r w:rsidDel="00000000" w:rsidR="00000000" w:rsidRPr="00000000">
              <w:rPr>
                <w:rtl w:val="0"/>
              </w:rPr>
            </w:r>
          </w:p>
        </w:tc>
        <w:tc>
          <w:tcPr>
            <w:shd w:fill="f3f7fb" w:val="clear"/>
            <w:tcMar>
              <w:top w:w="70.0" w:type="dxa"/>
              <w:bottom w:w="70.0" w:type="dxa"/>
            </w:tcMar>
            <w:vAlign w:val="top"/>
          </w:tcPr>
          <w:p w:rsidR="00000000" w:rsidDel="00000000" w:rsidP="00000000" w:rsidRDefault="00000000" w:rsidRPr="00000000" w14:paraId="0000002F">
            <w:pPr>
              <w:spacing w:after="0" w:lineRule="auto"/>
              <w:rPr/>
            </w:pPr>
            <w:r w:rsidDel="00000000" w:rsidR="00000000" w:rsidRPr="00000000">
              <w:rPr>
                <w:rFonts w:ascii="Arial" w:cs="Arial" w:eastAsia="Arial" w:hAnsi="Arial"/>
                <w:sz w:val="16"/>
                <w:szCs w:val="16"/>
                <w:rtl w:val="0"/>
              </w:rPr>
              <w:t xml:space="preserve">Supports capacity-based prioritization instead of a rigid yes/no label.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30">
            <w:pPr>
              <w:spacing w:after="0" w:lineRule="auto"/>
              <w:rPr/>
            </w:pPr>
            <w:r w:rsidDel="00000000" w:rsidR="00000000" w:rsidRPr="00000000">
              <w:rPr>
                <w:rFonts w:ascii="Arial" w:cs="Arial" w:eastAsia="Arial" w:hAnsi="Arial"/>
                <w:sz w:val="16"/>
                <w:szCs w:val="16"/>
                <w:rtl w:val="0"/>
              </w:rPr>
              <w:t xml:space="preserve">Primary error concern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1">
            <w:pPr>
              <w:spacing w:after="0" w:lineRule="auto"/>
              <w:rPr/>
            </w:pPr>
            <w:r w:rsidDel="00000000" w:rsidR="00000000" w:rsidRPr="00000000">
              <w:rPr>
                <w:rFonts w:ascii="Arial" w:cs="Arial" w:eastAsia="Arial" w:hAnsi="Arial"/>
                <w:sz w:val="16"/>
                <w:szCs w:val="16"/>
                <w:rtl w:val="0"/>
              </w:rPr>
              <w:t xml:space="preserve">False negatives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2">
            <w:pPr>
              <w:spacing w:after="0" w:lineRule="auto"/>
              <w:rPr/>
            </w:pPr>
            <w:r w:rsidDel="00000000" w:rsidR="00000000" w:rsidRPr="00000000">
              <w:rPr>
                <w:rFonts w:ascii="Arial" w:cs="Arial" w:eastAsia="Arial" w:hAnsi="Arial"/>
                <w:sz w:val="16"/>
                <w:szCs w:val="16"/>
                <w:rtl w:val="0"/>
              </w:rPr>
              <w:t xml:space="preserve">A missed at-risk student loses the opportunity for early support.</w:t>
            </w:r>
            <w:r w:rsidDel="00000000" w:rsidR="00000000" w:rsidRPr="00000000">
              <w:rPr>
                <w:rtl w:val="0"/>
              </w:rPr>
            </w:r>
          </w:p>
        </w:tc>
      </w:tr>
      <w:tr>
        <w:trPr>
          <w:cantSplit w:val="1"/>
          <w:tblHeader w:val="0"/>
        </w:trPr>
        <w:tc>
          <w:tcPr>
            <w:shd w:fill="f3f7fb" w:val="clear"/>
            <w:tcMar>
              <w:top w:w="70.0" w:type="dxa"/>
              <w:bottom w:w="7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sz w:val="16"/>
                <w:szCs w:val="16"/>
                <w:rtl w:val="0"/>
              </w:rPr>
              <w:t xml:space="preserve">Secondary error concern</w:t>
            </w:r>
            <w:r w:rsidDel="00000000" w:rsidR="00000000" w:rsidRPr="00000000">
              <w:rPr>
                <w:rtl w:val="0"/>
              </w:rPr>
            </w:r>
          </w:p>
        </w:tc>
        <w:tc>
          <w:tcPr>
            <w:shd w:fill="f3f7fb" w:val="clear"/>
            <w:tcMar>
              <w:top w:w="70.0" w:type="dxa"/>
              <w:bottom w:w="70.0" w:type="dxa"/>
            </w:tcM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sz w:val="16"/>
                <w:szCs w:val="16"/>
                <w:rtl w:val="0"/>
              </w:rPr>
              <w:t xml:space="preserve">False positives</w:t>
            </w:r>
            <w:r w:rsidDel="00000000" w:rsidR="00000000" w:rsidRPr="00000000">
              <w:rPr>
                <w:rtl w:val="0"/>
              </w:rPr>
            </w:r>
          </w:p>
        </w:tc>
        <w:tc>
          <w:tcPr>
            <w:shd w:fill="f3f7fb" w:val="clear"/>
            <w:tcMar>
              <w:top w:w="70.0" w:type="dxa"/>
              <w:bottom w:w="70.0" w:type="dxa"/>
            </w:tcMa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sz w:val="16"/>
                <w:szCs w:val="16"/>
                <w:rtl w:val="0"/>
              </w:rPr>
              <w:t xml:space="preserve">Unnecessary outreach consumes capacity and may stigmatize a student if handled poorly.</w:t>
            </w:r>
            <w:r w:rsidDel="00000000" w:rsidR="00000000" w:rsidRPr="00000000">
              <w:rPr>
                <w:rtl w:val="0"/>
              </w:rPr>
            </w:r>
          </w:p>
        </w:tc>
      </w:tr>
    </w:tbl>
    <w:p w:rsidR="00000000" w:rsidDel="00000000" w:rsidP="00000000" w:rsidRDefault="00000000" w:rsidRPr="00000000" w14:paraId="00000036">
      <w:pPr>
        <w:spacing w:after="0" w:lineRule="auto"/>
        <w:rPr/>
      </w:pP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t xml:space="preserve">3. Operational workflow</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403" w:right="0" w:hanging="259"/>
        <w:jc w:val="left"/>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At the end of the first semester, validated administrative and academic records are assembled using only information available at that time.</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403" w:right="0" w:hanging="259"/>
        <w:jc w:val="left"/>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The model generates class probabilities; P(Dropout) becomes the prioritization score.</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403" w:right="0" w:hanging="259"/>
        <w:jc w:val="left"/>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For the proof-of-concept scenario, the highest-risk 30% form the review queue. This share is close to the dataset's 32.12% dropout prevalence and tests whether the model can concentrate most eventual dropouts into a smaller, manageable group. An institution should replace 30% with its verified service capacity.</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403" w:right="0" w:hanging="259"/>
        <w:jc w:val="left"/>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Authorized staff review contextual information, contact the student, and offer voluntary support matched to need.</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403" w:right="0" w:hanging="259"/>
        <w:jc w:val="left"/>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Outcomes, outreach uptake, false-positive burden, and subgroup performance are monitored for continuous improvement.</w:t>
      </w:r>
    </w:p>
    <w:p w:rsidR="00000000" w:rsidDel="00000000" w:rsidP="00000000" w:rsidRDefault="00000000" w:rsidRPr="00000000" w14:paraId="0000003D">
      <w:pPr>
        <w:pStyle w:val="Heading2"/>
        <w:rPr/>
      </w:pPr>
      <w:r w:rsidDel="00000000" w:rsidR="00000000" w:rsidRPr="00000000">
        <w:rPr>
          <w:rtl w:val="0"/>
        </w:rPr>
        <w:t xml:space="preserve">Stakeholders and accountability</w:t>
      </w:r>
    </w:p>
    <w:p w:rsidR="00000000" w:rsidDel="00000000" w:rsidP="00000000" w:rsidRDefault="00000000" w:rsidRPr="00000000" w14:paraId="0000003E">
      <w:pPr>
        <w:rPr/>
      </w:pPr>
      <w:r w:rsidDel="00000000" w:rsidR="00000000" w:rsidRPr="00000000">
        <w:rPr>
          <w:rtl w:val="0"/>
        </w:rPr>
        <w:t xml:space="preserve">Student-support leadership owns the operational decision; academic advisers, counseling services, tutors, and financial-aid staff deliver interventions. Data and governance teams are responsible for data quality, access control, fairness monitoring, and model review. Students remain affected stakeholders and must be treated with dignity, transparency, and an avenue for questions or correction.</w:t>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rPr/>
      </w:pPr>
      <w:r w:rsidDel="00000000" w:rsidR="00000000" w:rsidRPr="00000000">
        <w:rPr>
          <w:rtl w:val="0"/>
        </w:rPr>
        <w:t xml:space="preserve">4. Success criteria</w:t>
      </w:r>
    </w:p>
    <w:p w:rsidR="00000000" w:rsidDel="00000000" w:rsidP="00000000" w:rsidRDefault="00000000" w:rsidRPr="00000000" w14:paraId="00000041">
      <w:pPr>
        <w:rPr/>
      </w:pPr>
      <w:r w:rsidDel="00000000" w:rsidR="00000000" w:rsidRPr="00000000">
        <w:rPr>
          <w:rtl w:val="0"/>
        </w:rPr>
        <w:t xml:space="preserve">Model quality and operational usefulness are evaluated together. The four numeric targets below are project design assumptions chosen before model selection. They make the evaluation transparent and interpretable; they are not published sector benchmarks.</w:t>
      </w:r>
    </w:p>
    <w:tbl>
      <w:tblPr>
        <w:tblStyle w:val="Table4"/>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042">
            <w:pPr>
              <w:rPr/>
            </w:pPr>
            <w:r w:rsidDel="00000000" w:rsidR="00000000" w:rsidRPr="00000000">
              <w:rPr>
                <w:b w:val="1"/>
                <w:bCs w:val="1"/>
                <w:color w:val="ffffff"/>
                <w:rtl w:val="0"/>
              </w:rPr>
              <w:t xml:space="preserve">Measure</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43">
            <w:pPr>
              <w:rPr/>
            </w:pPr>
            <w:r w:rsidDel="00000000" w:rsidR="00000000" w:rsidRPr="00000000">
              <w:rPr>
                <w:b w:val="1"/>
                <w:bCs w:val="1"/>
                <w:color w:val="ffffff"/>
                <w:rtl w:val="0"/>
              </w:rPr>
              <w:t xml:space="preserve">Project target</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44">
            <w:pPr>
              <w:rPr/>
            </w:pPr>
            <w:r w:rsidDel="00000000" w:rsidR="00000000" w:rsidRPr="00000000">
              <w:rPr>
                <w:b w:val="1"/>
                <w:bCs w:val="1"/>
                <w:color w:val="ffffff"/>
                <w:rtl w:val="0"/>
              </w:rPr>
              <w:t xml:space="preserve">Basis for the number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45">
            <w:pPr>
              <w:spacing w:after="0" w:lineRule="auto"/>
              <w:rPr/>
            </w:pPr>
            <w:r w:rsidDel="00000000" w:rsidR="00000000" w:rsidRPr="00000000">
              <w:rPr>
                <w:rFonts w:ascii="Arial" w:cs="Arial" w:eastAsia="Arial" w:hAnsi="Arial"/>
                <w:sz w:val="16"/>
                <w:szCs w:val="16"/>
                <w:rtl w:val="0"/>
              </w:rPr>
              <w:t xml:space="preserve">Dropout recall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6">
            <w:pPr>
              <w:spacing w:after="0" w:lineRule="auto"/>
              <w:rPr/>
            </w:pPr>
            <w:r w:rsidDel="00000000" w:rsidR="00000000" w:rsidRPr="00000000">
              <w:rPr>
                <w:rFonts w:ascii="Arial" w:cs="Arial" w:eastAsia="Arial" w:hAnsi="Arial"/>
                <w:sz w:val="16"/>
                <w:szCs w:val="16"/>
                <w:rtl w:val="0"/>
              </w:rPr>
              <w:t xml:space="preserve">&gt;= 75%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7">
            <w:pPr>
              <w:spacing w:after="0" w:lineRule="auto"/>
              <w:rPr/>
            </w:pPr>
            <w:r w:rsidDel="00000000" w:rsidR="00000000" w:rsidRPr="00000000">
              <w:rPr>
                <w:rFonts w:ascii="Arial" w:cs="Arial" w:eastAsia="Arial" w:hAnsi="Arial"/>
                <w:sz w:val="16"/>
                <w:szCs w:val="16"/>
                <w:rtl w:val="0"/>
              </w:rPr>
              <w:t xml:space="preserve">Requires the model to identify at least three of every four eventual dropouts, because missed cases lose the opportunity for early support.</w:t>
            </w:r>
            <w:r w:rsidDel="00000000" w:rsidR="00000000" w:rsidRPr="00000000">
              <w:rPr>
                <w:rtl w:val="0"/>
              </w:rPr>
            </w:r>
          </w:p>
        </w:tc>
      </w:tr>
      <w:tr>
        <w:trPr>
          <w:cantSplit w:val="1"/>
          <w:tblHeader w:val="0"/>
        </w:trPr>
        <w:tc>
          <w:tcPr>
            <w:shd w:fill="f3f7fb" w:val="clear"/>
            <w:tcMar>
              <w:top w:w="70.0" w:type="dxa"/>
              <w:bottom w:w="70.0" w:type="dxa"/>
            </w:tcMar>
            <w:vAlign w:val="top"/>
          </w:tcPr>
          <w:p w:rsidR="00000000" w:rsidDel="00000000" w:rsidP="00000000" w:rsidRDefault="00000000" w:rsidRPr="00000000" w14:paraId="00000048">
            <w:pPr>
              <w:spacing w:after="0" w:lineRule="auto"/>
              <w:rPr/>
            </w:pPr>
            <w:r w:rsidDel="00000000" w:rsidR="00000000" w:rsidRPr="00000000">
              <w:rPr>
                <w:rFonts w:ascii="Arial" w:cs="Arial" w:eastAsia="Arial" w:hAnsi="Arial"/>
                <w:sz w:val="16"/>
                <w:szCs w:val="16"/>
                <w:rtl w:val="0"/>
              </w:rPr>
              <w:t xml:space="preserve">Dropout precision</w:t>
            </w:r>
            <w:r w:rsidDel="00000000" w:rsidR="00000000" w:rsidRPr="00000000">
              <w:rPr>
                <w:rtl w:val="0"/>
              </w:rPr>
            </w:r>
          </w:p>
        </w:tc>
        <w:tc>
          <w:tcPr>
            <w:shd w:fill="f3f7fb" w:val="clear"/>
            <w:tcMar>
              <w:top w:w="70.0" w:type="dxa"/>
              <w:bottom w:w="70.0" w:type="dxa"/>
            </w:tcMar>
            <w:vAlign w:val="top"/>
          </w:tcPr>
          <w:p w:rsidR="00000000" w:rsidDel="00000000" w:rsidP="00000000" w:rsidRDefault="00000000" w:rsidRPr="00000000" w14:paraId="00000049">
            <w:pPr>
              <w:spacing w:after="0" w:lineRule="auto"/>
              <w:rPr/>
            </w:pPr>
            <w:r w:rsidDel="00000000" w:rsidR="00000000" w:rsidRPr="00000000">
              <w:rPr>
                <w:rFonts w:ascii="Arial" w:cs="Arial" w:eastAsia="Arial" w:hAnsi="Arial"/>
                <w:sz w:val="16"/>
                <w:szCs w:val="16"/>
                <w:rtl w:val="0"/>
              </w:rPr>
              <w:t xml:space="preserve">&gt;= 50%</w:t>
            </w:r>
            <w:r w:rsidDel="00000000" w:rsidR="00000000" w:rsidRPr="00000000">
              <w:rPr>
                <w:rtl w:val="0"/>
              </w:rPr>
            </w:r>
          </w:p>
        </w:tc>
        <w:tc>
          <w:tcPr>
            <w:shd w:fill="f3f7fb" w:val="clear"/>
            <w:tcMar>
              <w:top w:w="70.0" w:type="dxa"/>
              <w:bottom w:w="70.0" w:type="dxa"/>
            </w:tcMar>
            <w:vAlign w:val="top"/>
          </w:tcPr>
          <w:p w:rsidR="00000000" w:rsidDel="00000000" w:rsidP="00000000" w:rsidRDefault="00000000" w:rsidRPr="00000000" w14:paraId="0000004A">
            <w:pPr>
              <w:spacing w:after="0" w:lineRule="auto"/>
              <w:rPr/>
            </w:pPr>
            <w:r w:rsidDel="00000000" w:rsidR="00000000" w:rsidRPr="00000000">
              <w:rPr>
                <w:rFonts w:ascii="Arial" w:cs="Arial" w:eastAsia="Arial" w:hAnsi="Arial"/>
                <w:sz w:val="16"/>
                <w:szCs w:val="16"/>
                <w:rtl w:val="0"/>
              </w:rPr>
              <w:t xml:space="preserve">Requires at least one eventual dropout for every two alerts, limiting unnecessary contact and staff workload.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4B">
            <w:pPr>
              <w:spacing w:after="0" w:lineRule="auto"/>
              <w:rPr/>
            </w:pPr>
            <w:r w:rsidDel="00000000" w:rsidR="00000000" w:rsidRPr="00000000">
              <w:rPr>
                <w:rFonts w:ascii="Arial" w:cs="Arial" w:eastAsia="Arial" w:hAnsi="Arial"/>
                <w:sz w:val="16"/>
                <w:szCs w:val="16"/>
                <w:rtl w:val="0"/>
              </w:rPr>
              <w:t xml:space="preserve">Primary selection metric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C">
            <w:pPr>
              <w:spacing w:after="0" w:lineRule="auto"/>
              <w:rPr/>
            </w:pPr>
            <w:r w:rsidDel="00000000" w:rsidR="00000000" w:rsidRPr="00000000">
              <w:rPr>
                <w:rFonts w:ascii="Arial" w:cs="Arial" w:eastAsia="Arial" w:hAnsi="Arial"/>
                <w:sz w:val="16"/>
                <w:szCs w:val="16"/>
                <w:rtl w:val="0"/>
              </w:rPr>
              <w:t xml:space="preserve">Dropout F2 score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D">
            <w:pPr>
              <w:spacing w:after="0" w:lineRule="auto"/>
              <w:rPr/>
            </w:pPr>
            <w:r w:rsidDel="00000000" w:rsidR="00000000" w:rsidRPr="00000000">
              <w:rPr>
                <w:rFonts w:ascii="Arial" w:cs="Arial" w:eastAsia="Arial" w:hAnsi="Arial"/>
                <w:sz w:val="16"/>
                <w:szCs w:val="16"/>
                <w:rtl w:val="0"/>
              </w:rPr>
              <w:t xml:space="preserve">Gives recall greater influence than precision because a false negative is treated as the more costly error.</w:t>
            </w:r>
            <w:r w:rsidDel="00000000" w:rsidR="00000000" w:rsidRPr="00000000">
              <w:rPr>
                <w:rtl w:val="0"/>
              </w:rPr>
            </w:r>
          </w:p>
        </w:tc>
      </w:tr>
      <w:tr>
        <w:trPr>
          <w:cantSplit w:val="1"/>
          <w:tblHeader w:val="0"/>
        </w:trPr>
        <w:tc>
          <w:tcPr>
            <w:shd w:fill="f3f7fb" w:val="clear"/>
            <w:tcMar>
              <w:top w:w="70.0" w:type="dxa"/>
              <w:bottom w:w="70.0" w:type="dxa"/>
            </w:tcMar>
            <w:vAlign w:val="top"/>
          </w:tcPr>
          <w:p w:rsidR="00000000" w:rsidDel="00000000" w:rsidP="00000000" w:rsidRDefault="00000000" w:rsidRPr="00000000" w14:paraId="0000004E">
            <w:pPr>
              <w:spacing w:after="0" w:lineRule="auto"/>
              <w:rPr/>
            </w:pPr>
            <w:r w:rsidDel="00000000" w:rsidR="00000000" w:rsidRPr="00000000">
              <w:rPr>
                <w:rFonts w:ascii="Arial" w:cs="Arial" w:eastAsia="Arial" w:hAnsi="Arial"/>
                <w:sz w:val="16"/>
                <w:szCs w:val="16"/>
                <w:rtl w:val="0"/>
              </w:rPr>
              <w:t xml:space="preserve">Review capacity</w:t>
            </w:r>
            <w:r w:rsidDel="00000000" w:rsidR="00000000" w:rsidRPr="00000000">
              <w:rPr>
                <w:rtl w:val="0"/>
              </w:rPr>
            </w:r>
          </w:p>
        </w:tc>
        <w:tc>
          <w:tcPr>
            <w:shd w:fill="f3f7fb" w:val="clear"/>
            <w:tcMar>
              <w:top w:w="70.0" w:type="dxa"/>
              <w:bottom w:w="70.0" w:type="dxa"/>
            </w:tcMar>
            <w:vAlign w:val="top"/>
          </w:tcPr>
          <w:p w:rsidR="00000000" w:rsidDel="00000000" w:rsidP="00000000" w:rsidRDefault="00000000" w:rsidRPr="00000000" w14:paraId="0000004F">
            <w:pPr>
              <w:spacing w:after="0" w:lineRule="auto"/>
              <w:rPr/>
            </w:pPr>
            <w:r w:rsidDel="00000000" w:rsidR="00000000" w:rsidRPr="00000000">
              <w:rPr>
                <w:rFonts w:ascii="Arial" w:cs="Arial" w:eastAsia="Arial" w:hAnsi="Arial"/>
                <w:sz w:val="16"/>
                <w:szCs w:val="16"/>
                <w:rtl w:val="0"/>
              </w:rPr>
              <w:t xml:space="preserve">Top 30% of risk ranking</w:t>
            </w:r>
            <w:r w:rsidDel="00000000" w:rsidR="00000000" w:rsidRPr="00000000">
              <w:rPr>
                <w:rtl w:val="0"/>
              </w:rPr>
            </w:r>
          </w:p>
        </w:tc>
        <w:tc>
          <w:tcPr>
            <w:shd w:fill="f3f7fb" w:val="clear"/>
            <w:tcMar>
              <w:top w:w="70.0" w:type="dxa"/>
              <w:bottom w:w="70.0" w:type="dxa"/>
            </w:tcMar>
            <w:vAlign w:val="top"/>
          </w:tcPr>
          <w:p w:rsidR="00000000" w:rsidDel="00000000" w:rsidP="00000000" w:rsidRDefault="00000000" w:rsidRPr="00000000" w14:paraId="00000050">
            <w:pPr>
              <w:spacing w:after="0" w:lineRule="auto"/>
              <w:rPr/>
            </w:pPr>
            <w:r w:rsidDel="00000000" w:rsidR="00000000" w:rsidRPr="00000000">
              <w:rPr>
                <w:rFonts w:ascii="Arial" w:cs="Arial" w:eastAsia="Arial" w:hAnsi="Arial"/>
                <w:sz w:val="16"/>
                <w:szCs w:val="16"/>
                <w:rtl w:val="0"/>
              </w:rPr>
              <w:t xml:space="preserve">Illustrative scenario near the dataset's 32.12% dropout prevalence. It reduces routine review to about three students in ten and must be recalibrated to actual staffing.</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51">
            <w:pPr>
              <w:spacing w:after="0" w:lineRule="auto"/>
              <w:rPr/>
            </w:pPr>
            <w:r w:rsidDel="00000000" w:rsidR="00000000" w:rsidRPr="00000000">
              <w:rPr>
                <w:rFonts w:ascii="Arial" w:cs="Arial" w:eastAsia="Arial" w:hAnsi="Arial"/>
                <w:sz w:val="16"/>
                <w:szCs w:val="16"/>
                <w:rtl w:val="0"/>
              </w:rPr>
              <w:t xml:space="preserve">Capacity capture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2">
            <w:pPr>
              <w:spacing w:after="0" w:lineRule="auto"/>
              <w:rPr/>
            </w:pPr>
            <w:r w:rsidDel="00000000" w:rsidR="00000000" w:rsidRPr="00000000">
              <w:rPr>
                <w:rFonts w:ascii="Arial" w:cs="Arial" w:eastAsia="Arial" w:hAnsi="Arial"/>
                <w:sz w:val="16"/>
                <w:szCs w:val="16"/>
                <w:rtl w:val="0"/>
              </w:rPr>
              <w:t xml:space="preserve">&gt;= 60% of actual dropouts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3">
            <w:pPr>
              <w:spacing w:after="0" w:lineRule="auto"/>
              <w:rPr/>
            </w:pPr>
            <w:r w:rsidDel="00000000" w:rsidR="00000000" w:rsidRPr="00000000">
              <w:rPr>
                <w:rFonts w:ascii="Arial" w:cs="Arial" w:eastAsia="Arial" w:hAnsi="Arial"/>
                <w:sz w:val="16"/>
                <w:szCs w:val="16"/>
                <w:rtl w:val="0"/>
              </w:rPr>
              <w:t xml:space="preserve">Requires the 30% queue to contain at least three of every five dropouts. A random 30% list would capture about 30%, so the target demands at least twice that concentration.</w:t>
            </w:r>
            <w:r w:rsidDel="00000000" w:rsidR="00000000" w:rsidRPr="00000000">
              <w:rPr>
                <w:rtl w:val="0"/>
              </w:rPr>
            </w:r>
          </w:p>
        </w:tc>
      </w:tr>
    </w:tbl>
    <w:p w:rsidR="00000000" w:rsidDel="00000000" w:rsidP="00000000" w:rsidRDefault="00000000" w:rsidRPr="00000000" w14:paraId="00000054">
      <w:pPr>
        <w:spacing w:after="0" w:lineRule="auto"/>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30% queue and the 60% capture target are evaluated together. The first controls workload; the second requires the ranking to add value within that workload. Actual deployment thresholds should be set jointly by student-support leadership and governance teams using staffing, intervention cost, student experience, and subgroup performance.</w:t>
      </w:r>
    </w:p>
    <w:p w:rsidR="00000000" w:rsidDel="00000000" w:rsidP="00000000" w:rsidRDefault="00000000" w:rsidRPr="00000000" w14:paraId="00000056">
      <w:pPr>
        <w:pStyle w:val="Heading1"/>
        <w:rPr/>
      </w:pPr>
      <w:r w:rsidDel="00000000" w:rsidR="00000000" w:rsidRPr="00000000">
        <w:rPr>
          <w:rtl w:val="0"/>
        </w:rPr>
        <w:t xml:space="preserve">5. Business and service KPIs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230"/>
        <w:jc w:val="left"/>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Coverage: share of eventual dropouts included in the capacity-limited review list.</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230"/>
        <w:jc w:val="left"/>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Workload: number and percentage of students sent for human review, by period and team.</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230"/>
        <w:jc w:val="left"/>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Engagement: outreach completion, successful contact, referral acceptance, and intervention uptake.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230"/>
        <w:jc w:val="left"/>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Student outcome: semester-to-semester persistence and eventual completion among contacted students, compared through an appropriately designed pilot.</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230"/>
        <w:jc w:val="left"/>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Burden and safety: unsuccessful contacts, complaints, opt-outs, and the experience of students who were flagged but did not drop out.</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17" w:right="0" w:hanging="230"/>
        <w:jc w:val="left"/>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Equity: recall, false-positive rate, selection rate, and alert burden across audited student groups.</w:t>
      </w:r>
    </w:p>
    <w:p w:rsidR="00000000" w:rsidDel="00000000" w:rsidP="00000000" w:rsidRDefault="00000000" w:rsidRPr="00000000" w14:paraId="0000005D">
      <w:pPr>
        <w:rPr/>
      </w:pPr>
      <w:r w:rsidDel="00000000" w:rsidR="00000000" w:rsidRPr="00000000">
        <w:rPr>
          <w:rtl w:val="0"/>
        </w:rPr>
        <w:t xml:space="preserve">Retention improvement and financial return are not claimed from historical prediction alone. They require a prospective evaluation that records intervention costs, student participation, and incremental outcomes relative to a valid comparison group.</w:t>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rPr/>
      </w:pPr>
      <w:r w:rsidDel="00000000" w:rsidR="00000000" w:rsidRPr="00000000">
        <w:rPr>
          <w:rtl w:val="0"/>
        </w:rPr>
        <w:t xml:space="preserve">6. Scope, assumptions, and responsible-use boundaries</w:t>
      </w:r>
    </w:p>
    <w:tbl>
      <w:tblPr>
        <w:tblStyle w:val="Table5"/>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060">
            <w:pPr>
              <w:rPr/>
            </w:pPr>
            <w:r w:rsidDel="00000000" w:rsidR="00000000" w:rsidRPr="00000000">
              <w:rPr>
                <w:b w:val="1"/>
                <w:bCs w:val="1"/>
                <w:color w:val="ffffff"/>
                <w:rtl w:val="0"/>
              </w:rPr>
              <w:t xml:space="preserve">Area</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61">
            <w:pPr>
              <w:rPr/>
            </w:pPr>
            <w:r w:rsidDel="00000000" w:rsidR="00000000" w:rsidRPr="00000000">
              <w:rPr>
                <w:b w:val="1"/>
                <w:bCs w:val="1"/>
                <w:color w:val="ffffff"/>
                <w:rtl w:val="0"/>
              </w:rPr>
              <w:t xml:space="preserve">Boundary or assumption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62">
            <w:pPr>
              <w:spacing w:after="0" w:lineRule="auto"/>
              <w:rPr/>
            </w:pPr>
            <w:r w:rsidDel="00000000" w:rsidR="00000000" w:rsidRPr="00000000">
              <w:rPr>
                <w:rFonts w:ascii="Arial" w:cs="Arial" w:eastAsia="Arial" w:hAnsi="Arial"/>
                <w:sz w:val="17"/>
                <w:szCs w:val="17"/>
                <w:rtl w:val="0"/>
              </w:rPr>
              <w:t xml:space="preserve">In scope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3">
            <w:pPr>
              <w:spacing w:after="0" w:lineRule="auto"/>
              <w:rPr/>
            </w:pPr>
            <w:r w:rsidDel="00000000" w:rsidR="00000000" w:rsidRPr="00000000">
              <w:rPr>
                <w:rFonts w:ascii="Arial" w:cs="Arial" w:eastAsia="Arial" w:hAnsi="Arial"/>
                <w:sz w:val="17"/>
                <w:szCs w:val="17"/>
                <w:rtl w:val="0"/>
              </w:rPr>
              <w:t xml:space="preserve">Risk prioritization after first-semester results using authorized institutional data.</w:t>
            </w:r>
            <w:r w:rsidDel="00000000" w:rsidR="00000000" w:rsidRPr="00000000">
              <w:rPr>
                <w:rtl w:val="0"/>
              </w:rPr>
            </w:r>
          </w:p>
        </w:tc>
      </w:tr>
      <w:tr>
        <w:trPr>
          <w:cantSplit w:val="1"/>
          <w:tblHeader w:val="0"/>
        </w:trPr>
        <w:tc>
          <w:tcPr>
            <w:shd w:fill="f3f7fb" w:val="clear"/>
            <w:tcMar>
              <w:top w:w="70.0" w:type="dxa"/>
              <w:bottom w:w="70.0" w:type="dxa"/>
            </w:tcMar>
            <w:vAlign w:val="top"/>
          </w:tcPr>
          <w:p w:rsidR="00000000" w:rsidDel="00000000" w:rsidP="00000000" w:rsidRDefault="00000000" w:rsidRPr="00000000" w14:paraId="00000064">
            <w:pPr>
              <w:spacing w:after="0" w:lineRule="auto"/>
              <w:rPr/>
            </w:pPr>
            <w:r w:rsidDel="00000000" w:rsidR="00000000" w:rsidRPr="00000000">
              <w:rPr>
                <w:rFonts w:ascii="Arial" w:cs="Arial" w:eastAsia="Arial" w:hAnsi="Arial"/>
                <w:sz w:val="17"/>
                <w:szCs w:val="17"/>
                <w:rtl w:val="0"/>
              </w:rPr>
              <w:t xml:space="preserve">Out of scope</w:t>
            </w:r>
            <w:r w:rsidDel="00000000" w:rsidR="00000000" w:rsidRPr="00000000">
              <w:rPr>
                <w:rtl w:val="0"/>
              </w:rPr>
            </w:r>
          </w:p>
        </w:tc>
        <w:tc>
          <w:tcPr>
            <w:shd w:fill="f3f7fb" w:val="clear"/>
            <w:tcMar>
              <w:top w:w="70.0" w:type="dxa"/>
              <w:bottom w:w="70.0" w:type="dxa"/>
            </w:tcMar>
            <w:vAlign w:val="top"/>
          </w:tcPr>
          <w:p w:rsidR="00000000" w:rsidDel="00000000" w:rsidP="00000000" w:rsidRDefault="00000000" w:rsidRPr="00000000" w14:paraId="00000065">
            <w:pPr>
              <w:spacing w:after="0" w:lineRule="auto"/>
              <w:rPr/>
            </w:pPr>
            <w:r w:rsidDel="00000000" w:rsidR="00000000" w:rsidRPr="00000000">
              <w:rPr>
                <w:rFonts w:ascii="Arial" w:cs="Arial" w:eastAsia="Arial" w:hAnsi="Arial"/>
                <w:sz w:val="17"/>
                <w:szCs w:val="17"/>
                <w:rtl w:val="0"/>
              </w:rPr>
              <w:t xml:space="preserve">Admissions, scholarships, grading, disciplinary action, or automatic withdrawal decisions.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66">
            <w:pPr>
              <w:spacing w:after="0" w:lineRule="auto"/>
              <w:rPr/>
            </w:pPr>
            <w:r w:rsidDel="00000000" w:rsidR="00000000" w:rsidRPr="00000000">
              <w:rPr>
                <w:rFonts w:ascii="Arial" w:cs="Arial" w:eastAsia="Arial" w:hAnsi="Arial"/>
                <w:sz w:val="17"/>
                <w:szCs w:val="17"/>
                <w:rtl w:val="0"/>
              </w:rPr>
              <w:t xml:space="preserve">Timing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7">
            <w:pPr>
              <w:spacing w:after="0" w:lineRule="auto"/>
              <w:rPr/>
            </w:pPr>
            <w:r w:rsidDel="00000000" w:rsidR="00000000" w:rsidRPr="00000000">
              <w:rPr>
                <w:rFonts w:ascii="Arial" w:cs="Arial" w:eastAsia="Arial" w:hAnsi="Arial"/>
                <w:sz w:val="17"/>
                <w:szCs w:val="17"/>
                <w:rtl w:val="0"/>
              </w:rPr>
              <w:t xml:space="preserve">Second-semester academic variables are excluded from the primary early-warning model to prevent information leakage.</w:t>
            </w:r>
            <w:r w:rsidDel="00000000" w:rsidR="00000000" w:rsidRPr="00000000">
              <w:rPr>
                <w:rtl w:val="0"/>
              </w:rPr>
            </w:r>
          </w:p>
        </w:tc>
      </w:tr>
      <w:tr>
        <w:trPr>
          <w:cantSplit w:val="1"/>
          <w:tblHeader w:val="0"/>
        </w:trPr>
        <w:tc>
          <w:tcPr>
            <w:shd w:fill="f3f7fb" w:val="clear"/>
            <w:tcMar>
              <w:top w:w="70.0" w:type="dxa"/>
              <w:bottom w:w="70.0" w:type="dxa"/>
            </w:tcMar>
            <w:vAlign w:val="top"/>
          </w:tcPr>
          <w:p w:rsidR="00000000" w:rsidDel="00000000" w:rsidP="00000000" w:rsidRDefault="00000000" w:rsidRPr="00000000" w14:paraId="00000068">
            <w:pPr>
              <w:spacing w:after="0" w:lineRule="auto"/>
              <w:rPr/>
            </w:pPr>
            <w:r w:rsidDel="00000000" w:rsidR="00000000" w:rsidRPr="00000000">
              <w:rPr>
                <w:rFonts w:ascii="Arial" w:cs="Arial" w:eastAsia="Arial" w:hAnsi="Arial"/>
                <w:sz w:val="17"/>
                <w:szCs w:val="17"/>
                <w:rtl w:val="0"/>
              </w:rPr>
              <w:t xml:space="preserve">Interpretation</w:t>
            </w:r>
            <w:r w:rsidDel="00000000" w:rsidR="00000000" w:rsidRPr="00000000">
              <w:rPr>
                <w:rtl w:val="0"/>
              </w:rPr>
            </w:r>
          </w:p>
        </w:tc>
        <w:tc>
          <w:tcPr>
            <w:shd w:fill="f3f7fb" w:val="clear"/>
            <w:tcMar>
              <w:top w:w="70.0" w:type="dxa"/>
              <w:bottom w:w="70.0" w:type="dxa"/>
            </w:tcMar>
            <w:vAlign w:val="top"/>
          </w:tcPr>
          <w:p w:rsidR="00000000" w:rsidDel="00000000" w:rsidP="00000000" w:rsidRDefault="00000000" w:rsidRPr="00000000" w14:paraId="00000069">
            <w:pPr>
              <w:spacing w:after="0" w:lineRule="auto"/>
              <w:rPr/>
            </w:pPr>
            <w:r w:rsidDel="00000000" w:rsidR="00000000" w:rsidRPr="00000000">
              <w:rPr>
                <w:rFonts w:ascii="Arial" w:cs="Arial" w:eastAsia="Arial" w:hAnsi="Arial"/>
                <w:sz w:val="17"/>
                <w:szCs w:val="17"/>
                <w:rtl w:val="0"/>
              </w:rPr>
              <w:t xml:space="preserve">Risk is not destiny; the score is an imperfect signal that requires contextual human review.</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6A">
            <w:pPr>
              <w:spacing w:after="0" w:lineRule="auto"/>
              <w:rPr/>
            </w:pPr>
            <w:r w:rsidDel="00000000" w:rsidR="00000000" w:rsidRPr="00000000">
              <w:rPr>
                <w:rFonts w:ascii="Arial" w:cs="Arial" w:eastAsia="Arial" w:hAnsi="Arial"/>
                <w:sz w:val="17"/>
                <w:szCs w:val="17"/>
                <w:rtl w:val="0"/>
              </w:rPr>
              <w:t xml:space="preserve">Privacy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B">
            <w:pPr>
              <w:spacing w:after="0" w:lineRule="auto"/>
              <w:rPr/>
            </w:pPr>
            <w:r w:rsidDel="00000000" w:rsidR="00000000" w:rsidRPr="00000000">
              <w:rPr>
                <w:rFonts w:ascii="Arial" w:cs="Arial" w:eastAsia="Arial" w:hAnsi="Arial"/>
                <w:sz w:val="17"/>
                <w:szCs w:val="17"/>
                <w:rtl w:val="0"/>
              </w:rPr>
              <w:t xml:space="preserve">Access should be role-based, data-minimized, logged, and retained only as policy permits.</w:t>
            </w:r>
            <w:r w:rsidDel="00000000" w:rsidR="00000000" w:rsidRPr="00000000">
              <w:rPr>
                <w:rtl w:val="0"/>
              </w:rPr>
            </w:r>
          </w:p>
        </w:tc>
      </w:tr>
      <w:tr>
        <w:trPr>
          <w:cantSplit w:val="1"/>
          <w:tblHeader w:val="0"/>
        </w:trPr>
        <w:tc>
          <w:tcPr>
            <w:shd w:fill="f3f7fb" w:val="clear"/>
            <w:tcMar>
              <w:top w:w="70.0" w:type="dxa"/>
              <w:bottom w:w="70.0" w:type="dxa"/>
            </w:tcMar>
            <w:vAlign w:val="top"/>
          </w:tcPr>
          <w:p w:rsidR="00000000" w:rsidDel="00000000" w:rsidP="00000000" w:rsidRDefault="00000000" w:rsidRPr="00000000" w14:paraId="0000006C">
            <w:pPr>
              <w:spacing w:after="0" w:lineRule="auto"/>
              <w:rPr/>
            </w:pPr>
            <w:r w:rsidDel="00000000" w:rsidR="00000000" w:rsidRPr="00000000">
              <w:rPr>
                <w:rFonts w:ascii="Arial" w:cs="Arial" w:eastAsia="Arial" w:hAnsi="Arial"/>
                <w:sz w:val="17"/>
                <w:szCs w:val="17"/>
                <w:rtl w:val="0"/>
              </w:rPr>
              <w:t xml:space="preserve">Fairness</w:t>
            </w:r>
            <w:r w:rsidDel="00000000" w:rsidR="00000000" w:rsidRPr="00000000">
              <w:rPr>
                <w:rtl w:val="0"/>
              </w:rPr>
            </w:r>
          </w:p>
        </w:tc>
        <w:tc>
          <w:tcPr>
            <w:shd w:fill="f3f7fb" w:val="clear"/>
            <w:tcMar>
              <w:top w:w="70.0" w:type="dxa"/>
              <w:bottom w:w="70.0" w:type="dxa"/>
            </w:tcMar>
            <w:vAlign w:val="top"/>
          </w:tcPr>
          <w:p w:rsidR="00000000" w:rsidDel="00000000" w:rsidP="00000000" w:rsidRDefault="00000000" w:rsidRPr="00000000" w14:paraId="0000006D">
            <w:pPr>
              <w:spacing w:after="0" w:lineRule="auto"/>
              <w:rPr/>
            </w:pPr>
            <w:r w:rsidDel="00000000" w:rsidR="00000000" w:rsidRPr="00000000">
              <w:rPr>
                <w:rFonts w:ascii="Arial" w:cs="Arial" w:eastAsia="Arial" w:hAnsi="Arial"/>
                <w:sz w:val="17"/>
                <w:szCs w:val="17"/>
                <w:rtl w:val="0"/>
              </w:rPr>
              <w:t xml:space="preserve">Sensitive and proxy variables require explicit review; subgroup performance must be monitored before and after deployment.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6E">
            <w:pPr>
              <w:spacing w:after="0" w:lineRule="auto"/>
              <w:rPr/>
            </w:pPr>
            <w:r w:rsidDel="00000000" w:rsidR="00000000" w:rsidRPr="00000000">
              <w:rPr>
                <w:rFonts w:ascii="Arial" w:cs="Arial" w:eastAsia="Arial" w:hAnsi="Arial"/>
                <w:sz w:val="17"/>
                <w:szCs w:val="17"/>
                <w:rtl w:val="0"/>
              </w:rPr>
              <w:t xml:space="preserve">Generalisability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F">
            <w:pPr>
              <w:spacing w:after="0" w:lineRule="auto"/>
              <w:rPr/>
            </w:pPr>
            <w:r w:rsidDel="00000000" w:rsidR="00000000" w:rsidRPr="00000000">
              <w:rPr>
                <w:rFonts w:ascii="Arial" w:cs="Arial" w:eastAsia="Arial" w:hAnsi="Arial"/>
                <w:sz w:val="17"/>
                <w:szCs w:val="17"/>
                <w:rtl w:val="0"/>
              </w:rPr>
              <w:t xml:space="preserve">The source data represents one Portuguese higher-education institution; local validation is required before use elsewhere.</w:t>
            </w:r>
            <w:r w:rsidDel="00000000" w:rsidR="00000000" w:rsidRPr="00000000">
              <w:rPr>
                <w:rtl w:val="0"/>
              </w:rPr>
            </w:r>
          </w:p>
        </w:tc>
      </w:tr>
    </w:tbl>
    <w:p w:rsidR="00000000" w:rsidDel="00000000" w:rsidP="00000000" w:rsidRDefault="00000000" w:rsidRPr="00000000" w14:paraId="00000070">
      <w:pPr>
        <w:spacing w:after="0" w:lineRule="auto"/>
        <w:rPr/>
      </w:pPr>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rtl w:val="0"/>
        </w:rPr>
        <w:t xml:space="preserve">7. Traceability to later capstone tasks</w:t>
      </w:r>
    </w:p>
    <w:p w:rsidR="00000000" w:rsidDel="00000000" w:rsidP="00000000" w:rsidRDefault="00000000" w:rsidRPr="00000000" w14:paraId="00000072">
      <w:pPr>
        <w:rPr/>
      </w:pPr>
      <w:r w:rsidDel="00000000" w:rsidR="00000000" w:rsidRPr="00000000">
        <w:rPr>
          <w:rtl w:val="0"/>
        </w:rPr>
        <w:t xml:space="preserve">The framing governs the rest of the project: Task 2 checks whether the public dataset supports the prediction point; Task 3 removes second-semester leakage and engineers first-semester features; Task 4 selects a model against the recall, precision, and capacity targets; Task 5 audits subgroup impacts; and Task 6 communicates the evidence and safeguards to technical and business audiences.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rPr/>
      </w:pPr>
      <w:r w:rsidDel="00000000" w:rsidR="00000000" w:rsidRPr="00000000">
        <w:rPr>
          <w:rtl w:val="0"/>
        </w:rPr>
        <w:t xml:space="preserve">Reference</w:t>
      </w:r>
    </w:p>
    <w:p w:rsidR="00000000" w:rsidDel="00000000" w:rsidP="00000000" w:rsidRDefault="00000000" w:rsidRPr="00000000" w14:paraId="00000075">
      <w:pPr>
        <w:spacing w:after="80" w:lineRule="auto"/>
        <w:ind w:left="259" w:hanging="259"/>
        <w:rPr/>
      </w:pPr>
      <w:r w:rsidDel="00000000" w:rsidR="00000000" w:rsidRPr="00000000">
        <w:rPr>
          <w:rtl w:val="0"/>
        </w:rPr>
        <w:t xml:space="preserve">UCI Machine Learning Repository. </w:t>
      </w:r>
      <w:hyperlink r:id="rId7">
        <w:r w:rsidDel="00000000" w:rsidR="00000000" w:rsidRPr="00000000">
          <w:rPr>
            <w:color w:val="2f75b5"/>
            <w:u w:val="single"/>
            <w:rtl w:val="0"/>
          </w:rPr>
          <w:t xml:space="preserve">Predict Students' Dropout and Academic Success</w:t>
        </w:r>
      </w:hyperlink>
      <w:r w:rsidDel="00000000" w:rsidR="00000000" w:rsidRPr="00000000">
        <w:rPr>
          <w:rtl w:val="0"/>
        </w:rPr>
        <w:t xml:space="preserve">. DOI: 10.24432/C5MC89. Licensed under CC BY 4.0.</w:t>
      </w:r>
    </w:p>
    <w:sectPr>
      <w:footerReference r:id="rId8" w:type="default"/>
      <w:pgSz w:h="15840" w:w="12240" w:orient="portrait"/>
      <w:pgMar w:bottom="893" w:top="979" w:left="1123" w:right="112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jc w:val="righ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1f1f"/>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00" w:lineRule="auto"/>
    </w:pPr>
    <w:rPr>
      <w:rFonts w:ascii="Arial" w:cs="Arial" w:eastAsia="Arial" w:hAnsi="Arial"/>
      <w:b w:val="1"/>
      <w:bCs w:val="1"/>
      <w:color w:val="17365d"/>
      <w:sz w:val="32"/>
      <w:szCs w:val="32"/>
    </w:rPr>
  </w:style>
  <w:style w:type="paragraph" w:styleId="Heading2">
    <w:name w:val="heading 2"/>
    <w:basedOn w:val="Normal"/>
    <w:next w:val="Normal"/>
    <w:pPr>
      <w:keepNext w:val="1"/>
      <w:keepLines w:val="1"/>
      <w:spacing w:after="60" w:before="140" w:lineRule="auto"/>
    </w:pPr>
    <w:rPr>
      <w:rFonts w:ascii="Arial" w:cs="Arial" w:eastAsia="Arial" w:hAnsi="Arial"/>
      <w:b w:val="1"/>
      <w:bCs w:val="1"/>
      <w:color w:val="2f75b5"/>
      <w:sz w:val="25"/>
      <w:szCs w:val="25"/>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17365d"/>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60" w:line="240" w:lineRule="auto"/>
    </w:pPr>
    <w:rPr>
      <w:rFonts w:ascii="Arial" w:cs="Arial" w:eastAsia="Arial" w:hAnsi="Arial"/>
      <w:b w:val="1"/>
      <w:bCs w:val="1"/>
      <w:color w:val="17365d"/>
      <w:sz w:val="46"/>
      <w:szCs w:val="4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aptionSmall" w:customStyle="1">
    <w:name w:val="Caption Small"/>
    <w:pPr>
      <w:keepNext w:val="1"/>
      <w:spacing w:after="100" w:before="40"/>
    </w:pPr>
    <w:rPr>
      <w:rFonts w:ascii="Arial" w:hAnsi="Arial"/>
      <w:i w:val="1"/>
      <w:color w:val="666666"/>
      <w:sz w:val="17"/>
    </w:rPr>
  </w:style>
  <w:style w:type="paragraph" w:styleId="Subtitle">
    <w:name w:val="Subtitle"/>
    <w:basedOn w:val="Normal"/>
    <w:next w:val="Normal"/>
    <w:pPr/>
    <w:rPr>
      <w:rFonts w:ascii="Arial" w:cs="Arial" w:eastAsia="Arial" w:hAnsi="Arial"/>
      <w:i w:val="1"/>
      <w:iCs w:val="1"/>
      <w:color w:val="666666"/>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rchive.ics.uci.edu/dataset/697/predict+students+dropout+and+academic+success"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R5dsrmA9izgqCNaBSfCm4iz7pg==">CgMxLjA4AHIhMWQ3d2RsMzNYNUdQcmdGa0hsSEs2T0ZtTFJBanhyOHVr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AIM Capstone Project</dc:creator>
</cp:coreProperties>
</file>