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Data Collection and Understanding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Public dataset selection, structure, quality profile, and modeling readiness</w:t>
      </w:r>
    </w:p>
    <w:p w:rsidR="00000000" w:rsidDel="00000000" w:rsidP="00000000" w:rsidRDefault="00000000" w:rsidRPr="00000000" w14:paraId="00000003">
      <w:pPr>
        <w:pBdr>
          <w:bottom w:color="2f75b5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2088"/>
        <w:gridCol w:w="7704"/>
        <w:tblGridChange w:id="0">
          <w:tblGrid>
            <w:gridCol w:w="2088"/>
            <w:gridCol w:w="7704"/>
          </w:tblGrid>
        </w:tblGridChange>
      </w:tblGrid>
      <w:tr>
        <w:trPr>
          <w:cantSplit w:val="1"/>
          <w:tblHeader w:val="0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Predict Students' Dropout and Academic Success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UCI Machine Learning Repository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Creative Commons Attribution 4.0 International (CC BY 4.0)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4,424 student records; 36 predictors; 1 target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selected UCI dataset is suitable for this capstone because it directly supports student-outcome prediction, is publicly accessible under a permissive attribution license, contains a meaningful number of observations, combines demographic, socioeconomic, enrollment, and academic variables, and provides a three-class target: Dropout, Enrolled, and Graduate.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dataset contains no machine-readable missing values, blank strings, or exact duplicate rows. However, data understanding cannot stop at null counts: most categorical fields are stored as integer codes, some occupation fields use code 99 for blank or unknown, the source column name 'Nacionality' is misspelled, and six second-semester variables are unavailable at the intended first-semester prediction point. These issues are handled explicitly in the reproducible pipeline.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Source and provenance</w:t>
      </w:r>
    </w:p>
    <w:tbl>
      <w:tblPr>
        <w:tblStyle w:val="Table2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Repository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UCI dataset ID 697; DOI 10.24432/C5MC89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Valentim Realinho, Mónica Vieira Martins, Jorge Machado, and Luís Baptista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Created /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Created 2021; UCI record updated 26 February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Institutional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Students enrolled in undergraduate programs at one Portuguese higher-education institution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Official missing-value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Reuse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CC BY 4.0: attribution to the source is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Official source: </w:t>
      </w:r>
      <w:hyperlink r:id="rId7">
        <w:r w:rsidDel="00000000" w:rsidR="00000000" w:rsidRPr="00000000">
          <w:rPr>
            <w:color w:val="2f75b5"/>
            <w:u w:val="single"/>
            <w:rtl w:val="0"/>
          </w:rPr>
          <w:t xml:space="preserve">UCI Machine Learning Repository dataset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Dataset structure and target</w:t>
      </w:r>
    </w:p>
    <w:tbl>
      <w:tblPr>
        <w:tblStyle w:val="Table3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4,424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One record per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36 predictors plus one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Categorical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Integer-coded categories; must not be treated as continuous quantities.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Discrete numeric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Counts or bounded integer measures.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Continuous numeric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Grades and macroeconomic indicators.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Primary early-warning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Available by the end of the first semester.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Excluded for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Second-semester measures that would leak future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Target distribution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96793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Figure 1. Outcome distribution in the 4,424-record dataset.</w:t>
      </w:r>
    </w:p>
    <w:tbl>
      <w:tblPr>
        <w:tblStyle w:val="Table4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Graduate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2,209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49.93%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32.12%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17.95%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target is moderately imbalanced rather than extremely rare. Stratified train/test splitting and class-aware evaluation are still required, with particular attention to Dropout recall and precision.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3. Feature timing and role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raw variables span enrollment context, prior education, socioeconomic background, first- and second-semester performance, and macroeconomic context. Feature availability is evaluated against the Task 1 decision point.</w:t>
      </w:r>
    </w:p>
    <w:tbl>
      <w:tblPr>
        <w:tblStyle w:val="Table5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Primary-model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Application and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Application mode/order, course,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Retain if available before enrollment or at semester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Prior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Previous qualification, prior grade, admission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Retain; encode categorical codes separately from numeric 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Demographic and household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Age, marital status, parental education/occupation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for sensitivity and proxy effects before inclusion.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Financial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Scholarship, debtor, tuition fees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Retain with fairness review and careful interpretation.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First-semester academics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Units enrolled, evaluated, approved, grade, credited, no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Retain; these are central signals at the prediction 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Second-semester academics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Corresponding six second-semester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Exclude from the primary early-warning model to prevent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Macroeconomic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Unemployment, inflation, GDP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Retain as numeric context; monitor drift when moving across years or regions.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Why this dataset was chosen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Strong problem fit: the target directly matches dropout and academic-success outcomes.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Operational relevance: first-semester academic signals allow a realistic early-warning use case.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Analytical richness: mixed feature types support preprocessing, feature engineering, explainability, and fairness analysis.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Adequate scale: 4,424 records provide enough cases for stratified model comparison while remaining reproducible on a personal computer.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Transparent provenance: UCI provides formal metadata, variable descriptions, a DOI, named creators, and an open license.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Capstone completeness: the data supports EDA, multiclass modeling, threshold/capacity analysis, subgroup audit, and stakeholder communication.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4. Data quality assessment</w:t>
      </w:r>
    </w:p>
    <w:tbl>
      <w:tblPr>
        <w:tblStyle w:val="Table6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Machine-readable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 across all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numeric or categorical imputation is required for the supplied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Blank 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whitespace-based missing values were detected.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Exact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duplicate removal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Semantic missingness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Occupation code 99 denotes blank/unknown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Treat the documented code as an explicit category, not a numeric magnitude.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Column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Source uses 'Nacionality'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Standardize to 'Nationality' in processed data and preserve the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Integer-coded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 categorical preprocessing; do not imply an ordinal distance unless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Outlier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IQR rules flag values in several numeric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 flags as review prompts; retain values that are valid under source definitions.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Information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 second-semester predictors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Remove from the first-semester model before splitting and training.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Outlier interpretation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Statistical rarity does not automatically imply bad data. Variables such as age at enrollment, credited course units, or macroeconomic indicators may contain legitimate extremes. The project therefore records IQR-based flags, checks each field against its documented meaning and observed support, and avoids deleting valid students solely because their values are uncommon.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Reproducible handling rules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Preserve an unchanged raw CSV and the downloaded UCI metadata as source evidence.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Normalize only documented naming issues and record the transformation.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Assign semantic types before preprocessing so category codes are not treated as measurements.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403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Exclude second-semester variables from the primary early-warning feature set; then fit encoders, scalers, and models on training data only using stratified splits.</w:t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5. Data dictionary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companion workbook, Task 2 Dataset Overview and Dictionary.xlsx, is the authoritative 37-variable dictionary submitted with this report. It records each variable's role, official type, semantic type, availability stage, primary-model use, fairness role, units, official description, observed values, and missing-value count. The summary below explains its organization.</w:t>
      </w:r>
    </w:p>
    <w:tbl>
      <w:tblPr>
        <w:tblStyle w:val="Table7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Dictionary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Variable and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Identifies each of the 36 predictors and the Target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Official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Preserves the data type reported by UCI.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Semantic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Distinguishes coded categories from discrete and continuous numeric measures.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Stage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Shows whether the field is known at enrollment, first semester, or second semester.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Primary model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Documents inclusion, exclusion, or audit-first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Fairness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Flags potential sensitive attributes or proxy variables for later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Official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Retains source meanings and categorical code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Observed values and missingness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Provides empirical support and data-quality evidence from the downloaded CSV.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Representative variables</w:t>
      </w:r>
    </w:p>
    <w:tbl>
      <w:tblPr>
        <w:tblStyle w:val="Table8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Semantic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 in early-warning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Age at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Discrete 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Candidate; audit subgroup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Tuition fees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Categorical/binary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Enrollment and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Candidate; fairness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Curricular units 1st sem (approved)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Discrete 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End of first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Candidate academic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Curricular units 2nd sem (grade)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Continuous 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End of second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Excluded for prediction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Categorical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Observed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Prediction label: Dropout, Enrolled, Graduate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6. Limitations and readiness conclusion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The data comes from one Portuguese institution; results may not transfer to another place, program mix, or time period.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Administrative variables can encode structural disadvantage; predictive value alone does not justify student-facing use.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The dataset supports prediction, not causal claims about which intervention will prevent dropout.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17" w:right="0" w:hanging="23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Enrolled is an interim state, so outcome definitions and evaluation windows must align to local policy before deployment.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Conclusion: the dataset is fit for a capstone proof of concept, but deployment requires local validation, governance approval, prospective monitoring, and a controlled evaluation of the support program.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CA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UCI Machine Learning Repository. </w:t>
      </w:r>
      <w:hyperlink r:id="rId9">
        <w:r w:rsidDel="00000000" w:rsidR="00000000" w:rsidRPr="00000000">
          <w:rPr>
            <w:color w:val="2f75b5"/>
            <w:u w:val="single"/>
            <w:rtl w:val="0"/>
          </w:rPr>
          <w:t xml:space="preserve">Predict Students' Dropout and Academic Success</w:t>
        </w:r>
      </w:hyperlink>
      <w:r w:rsidDel="00000000" w:rsidR="00000000" w:rsidRPr="00000000">
        <w:rPr>
          <w:rtl w:val="0"/>
        </w:rPr>
        <w:t xml:space="preserve">. DOI: 10.24432/C5MC89. CC BY 4.0.</w:t>
      </w:r>
    </w:p>
    <w:p w:rsidR="00000000" w:rsidDel="00000000" w:rsidP="00000000" w:rsidRDefault="00000000" w:rsidRPr="00000000" w14:paraId="000000CB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Martins, M. V., Tolledo, D., Machado, J., Baptista, L. M. T., and Realinho, V. (2021). </w:t>
      </w:r>
      <w:hyperlink r:id="rId10">
        <w:r w:rsidDel="00000000" w:rsidR="00000000" w:rsidRPr="00000000">
          <w:rPr>
            <w:color w:val="2f75b5"/>
            <w:u w:val="single"/>
            <w:rtl w:val="0"/>
          </w:rPr>
          <w:t xml:space="preserve">Early prediction of student's performance in higher education: a case study</w:t>
        </w:r>
      </w:hyperlink>
      <w:r w:rsidDel="00000000" w:rsidR="00000000" w:rsidRPr="00000000">
        <w:rPr>
          <w:rtl w:val="0"/>
        </w:rPr>
        <w:t xml:space="preserve">. Trends and Applications in Information Systems and Technologies.</w:t>
      </w:r>
    </w:p>
    <w:sectPr>
      <w:footerReference r:id="rId11" w:type="default"/>
      <w:pgSz w:h="15840" w:w="12240" w:orient="portrait"/>
      <w:pgMar w:bottom="893" w:top="979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1f1f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40" w:lineRule="auto"/>
    </w:pPr>
    <w:rPr>
      <w:rFonts w:ascii="Arial" w:cs="Arial" w:eastAsia="Arial" w:hAnsi="Arial"/>
      <w:b w:val="1"/>
      <w:bCs w:val="1"/>
      <w:color w:val="2f75b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7365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60" w:line="240" w:lineRule="auto"/>
    </w:pPr>
    <w:rPr>
      <w:rFonts w:ascii="Arial" w:cs="Arial" w:eastAsia="Arial" w:hAnsi="Arial"/>
      <w:b w:val="1"/>
      <w:bCs w:val="1"/>
      <w:color w:val="17365d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ptionSmall" w:customStyle="1">
    <w:name w:val="Caption Small"/>
    <w:pPr>
      <w:keepNext w:val="1"/>
      <w:spacing w:after="100" w:before="40"/>
    </w:pPr>
    <w:rPr>
      <w:rFonts w:ascii="Arial" w:hAnsi="Arial"/>
      <w:i w:val="1"/>
      <w:color w:val="666666"/>
      <w:sz w:val="17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666666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oi.org/10.1007/978-3-030-72657-7_16" TargetMode="External"/><Relationship Id="rId9" Type="http://schemas.openxmlformats.org/officeDocument/2006/relationships/hyperlink" Target="https://archive.ics.uci.edu/dataset/697/predict+students+dropout+and+academic+succes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dataset/697/predict+students+dropout+and+academic+succes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u4gEgB7zn/0RKyaQrZ8gCVqHBQ==">CgMxLjA4AHIhMUhjTXBMaFRFMmduWl8xSFdCY0U2ZTVYMTNLSV9vaC0y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AIM Capstone Project</dc:creator>
</cp:coreProperties>
</file>