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sz w:val="26"/>
          <w:szCs w:val="26"/>
        </w:rPr>
        <w:t>COMSATS University Islamabad, Lahore Campus</w:t>
      </w:r>
    </w:p>
    <w:p>
      <w:pPr>
        <w:pStyle w:val="Normal"/>
        <w:spacing w:before="0" w:after="40"/>
        <w:jc w:val="center"/>
        <w:rPr/>
      </w:pPr>
      <w:r>
        <w:rPr>
          <w:sz w:val="23"/>
          <w:szCs w:val="23"/>
        </w:rPr>
        <w:t>MGT 250 – Introduction to Entrepreneurship</w:t>
      </w:r>
    </w:p>
    <w:p>
      <w:pPr>
        <w:pStyle w:val="Normal"/>
        <w:spacing w:before="0" w:after="40"/>
        <w:jc w:val="center"/>
        <w:rPr/>
      </w:pPr>
      <w:r>
        <w:rPr>
          <w:sz w:val="23"/>
          <w:szCs w:val="23"/>
        </w:rPr>
        <w:t>SP25-BSE  |  Solar Energy Business – Full Analysis</w:t>
      </w:r>
    </w:p>
    <w:p>
      <w:pPr>
        <w:pStyle w:val="Normal"/>
        <w:spacing w:before="0" w:after="360"/>
        <w:jc w:val="center"/>
        <w:rPr/>
      </w:pPr>
      <w:r>
        <w:rPr>
          <w:i/>
          <w:iCs/>
          <w:sz w:val="22"/>
          <w:szCs w:val="22"/>
        </w:rPr>
        <w:t>Date: April 2026</w:t>
      </w:r>
    </w:p>
    <w:p>
      <w:pPr>
        <w:pStyle w:val="Normal"/>
        <w:pBdr>
          <w:bottom w:val="single" w:sz="4" w:space="4" w:color="1F3864"/>
        </w:pBdr>
        <w:spacing w:before="300" w:after="120"/>
        <w:rPr/>
      </w:pPr>
      <w:r>
        <w:rPr>
          <w:b/>
          <w:bCs/>
          <w:color w:val="1F3864"/>
          <w:sz w:val="26"/>
          <w:szCs w:val="26"/>
        </w:rPr>
        <w:t>Part 1: Feasibility Analysis – Solar Energy Installation Business</w:t>
      </w:r>
    </w:p>
    <w:p>
      <w:pPr>
        <w:pStyle w:val="Normal"/>
        <w:spacing w:before="60" w:after="60"/>
        <w:jc w:val="both"/>
        <w:rPr/>
      </w:pPr>
      <w:r>
        <w:rPr>
          <w:sz w:val="22"/>
          <w:szCs w:val="22"/>
        </w:rPr>
        <w:t>According to the course material, a feasibility analysis is the process of determining whether a business idea is viable before moving forward with a full business plan. It helps the entrepreneur avoid investing time and money into an idea that has no real future. The feasibility analysis looks at four main dimensions: product/service, industry/market, organizational, and financial. Below is the feasibility analysis for the solar energy installation and sales business in Pakistan.</w:t>
      </w:r>
    </w:p>
    <w:p>
      <w:pPr>
        <w:pStyle w:val="Normal"/>
        <w:spacing w:before="160" w:after="80"/>
        <w:rPr/>
      </w:pPr>
      <w:r>
        <w:rPr>
          <w:b/>
          <w:bCs/>
          <w:sz w:val="23"/>
          <w:szCs w:val="23"/>
        </w:rPr>
        <w:t>1.1  Product / Service Feasibility</w:t>
      </w:r>
    </w:p>
    <w:p>
      <w:pPr>
        <w:pStyle w:val="Normal"/>
        <w:spacing w:before="60" w:after="60"/>
        <w:jc w:val="both"/>
        <w:rPr/>
      </w:pPr>
      <w:r>
        <w:rPr>
          <w:sz w:val="22"/>
          <w:szCs w:val="22"/>
        </w:rPr>
        <w:t>This dimension evaluates whether the product or service is desirable and whether there is any demand for it in the market. The course material defines this as checking if the product creates real value for its buyers.</w:t>
      </w:r>
    </w:p>
    <w:p>
      <w:pPr>
        <w:pStyle w:val="Normal"/>
        <w:spacing w:before="60" w:after="60"/>
        <w:jc w:val="both"/>
        <w:rPr/>
      </w:pPr>
      <w:r>
        <w:rPr>
          <w:sz w:val="22"/>
          <w:szCs w:val="22"/>
        </w:rPr>
        <w:t>For the solar energy business, the product is the installation of solar panels along with after-sales maintenance services for homes and commercial buildings. The value proposition is very strong: customers save money on electricity bills, they become less dependent on the national grid (which in Pakistan causes 8-12 hours of daily load-shedding), and they get a clean energy source. There is clearly strong and growing demand in the market. The product solves a very real and painful problem that millions of Pakistani households face every single day.</w:t>
      </w:r>
    </w:p>
    <w:p>
      <w:pPr>
        <w:pStyle w:val="Normal"/>
        <w:spacing w:before="70" w:after="70"/>
        <w:jc w:val="both"/>
        <w:rPr/>
      </w:pPr>
      <w:r>
        <w:rPr>
          <w:b/>
          <w:bCs/>
          <w:sz w:val="22"/>
          <w:szCs w:val="22"/>
        </w:rPr>
        <w:t xml:space="preserve">Conclusion: </w:t>
      </w:r>
      <w:r>
        <w:rPr>
          <w:sz w:val="22"/>
          <w:szCs w:val="22"/>
        </w:rPr>
        <w:t>Product/service feasibility is HIGH. The product creates strong value, solves a genuine problem, and there is demonstrated market demand.</w:t>
      </w:r>
    </w:p>
    <w:p>
      <w:pPr>
        <w:pStyle w:val="Normal"/>
        <w:spacing w:before="160" w:after="80"/>
        <w:rPr/>
      </w:pPr>
      <w:r>
        <w:rPr>
          <w:b/>
          <w:bCs/>
          <w:sz w:val="23"/>
          <w:szCs w:val="23"/>
        </w:rPr>
        <w:t>1.2  Industry / Market Feasibility</w:t>
      </w:r>
    </w:p>
    <w:p>
      <w:pPr>
        <w:pStyle w:val="Normal"/>
        <w:spacing w:before="60" w:after="60"/>
        <w:jc w:val="both"/>
        <w:rPr/>
      </w:pPr>
      <w:r>
        <w:rPr>
          <w:sz w:val="22"/>
          <w:szCs w:val="22"/>
        </w:rPr>
        <w:t>This dimension assesses how attractive the target industry is and how large the opportunity is. The course material says that entrepreneurs must examine whether the industry is growing, what the level of competition looks like, and whether there is room for a new player.</w:t>
      </w:r>
    </w:p>
    <w:p>
      <w:pPr>
        <w:pStyle w:val="Normal"/>
        <w:spacing w:before="60" w:after="60"/>
        <w:jc w:val="both"/>
        <w:rPr/>
      </w:pPr>
      <w:r>
        <w:rPr>
          <w:sz w:val="22"/>
          <w:szCs w:val="22"/>
        </w:rPr>
        <w:t>Pakistan's solar energy industry is one of the fastest-growing sectors in the country right now. According to AEDB data, installed solar capacity has been increasing rapidly each year, driven by energy shortages and high utility tariffs. The market is large and still developing, especially in smaller cities and rural areas that are underserved. Competition exists mainly in the form of large, established importers and Chinese solar brands, but local installation service providers who offer strong customer service and post-installation support have a clear differentiation advantage. The Five Forces framework from the course material shows that while rivalry is increasing, the market is growing fast enough to absorb new entrants.</w:t>
      </w:r>
    </w:p>
    <w:p>
      <w:pPr>
        <w:pStyle w:val="Normal"/>
        <w:spacing w:before="70" w:after="70"/>
        <w:jc w:val="both"/>
        <w:rPr/>
      </w:pPr>
      <w:r>
        <w:rPr>
          <w:b/>
          <w:bCs/>
          <w:sz w:val="22"/>
          <w:szCs w:val="22"/>
        </w:rPr>
        <w:t xml:space="preserve">Conclusion: </w:t>
      </w:r>
      <w:r>
        <w:rPr>
          <w:sz w:val="22"/>
          <w:szCs w:val="22"/>
        </w:rPr>
        <w:t>Industry/market feasibility is HIGH. The industry is growing rapidly, the market is large, and there is room for differentiated new entrants, especially those focused on local service quality.</w:t>
      </w:r>
    </w:p>
    <w:p>
      <w:pPr>
        <w:pStyle w:val="Normal"/>
        <w:spacing w:before="160" w:after="80"/>
        <w:rPr/>
      </w:pPr>
      <w:r>
        <w:rPr>
          <w:b/>
          <w:bCs/>
          <w:sz w:val="23"/>
          <w:szCs w:val="23"/>
        </w:rPr>
        <w:t>1.3  Organizational Feasibility</w:t>
      </w:r>
    </w:p>
    <w:p>
      <w:pPr>
        <w:pStyle w:val="Normal"/>
        <w:spacing w:before="60" w:after="60"/>
        <w:jc w:val="both"/>
        <w:rPr/>
      </w:pPr>
      <w:r>
        <w:rPr>
          <w:sz w:val="22"/>
          <w:szCs w:val="22"/>
        </w:rPr>
        <w:t>This dimension looks at whether the management team has the skills, experience, and competencies needed to actually run the business. The course material calls these 'core competencies' and warns about the 'managerial capacity problem' – where a team is too overwhelmed by day-to-day tasks to effectively grow the business.</w:t>
      </w:r>
    </w:p>
    <w:p>
      <w:pPr>
        <w:pStyle w:val="Normal"/>
        <w:spacing w:before="60" w:after="60"/>
        <w:jc w:val="both"/>
        <w:rPr/>
      </w:pPr>
      <w:r>
        <w:rPr>
          <w:sz w:val="22"/>
          <w:szCs w:val="22"/>
        </w:rPr>
        <w:t>For a solar installation business, the key competencies needed are: technical knowledge of solar systems, project management, customer service, supply chain management, and sales. The management team should ideally have at least one technical co-founder with electrical engineering or solar installation experience. A skills profile assessment (as mentioned in the course material) should be done to identify gaps. If the founding team lacks certain skills, they can be addressed by hiring specialists or partnering with experienced installers. The managerial capacity problem is a real risk here – as the business grows and gets more projects, the founders need to delegate properly to avoid becoming a bottleneck.</w:t>
      </w:r>
    </w:p>
    <w:p>
      <w:pPr>
        <w:pStyle w:val="Normal"/>
        <w:spacing w:before="70" w:after="70"/>
        <w:jc w:val="both"/>
        <w:rPr/>
      </w:pPr>
      <w:r>
        <w:rPr>
          <w:b/>
          <w:bCs/>
          <w:sz w:val="22"/>
          <w:szCs w:val="22"/>
        </w:rPr>
        <w:t xml:space="preserve">Conclusion: </w:t>
      </w:r>
      <w:r>
        <w:rPr>
          <w:sz w:val="22"/>
          <w:szCs w:val="22"/>
        </w:rPr>
        <w:t>Organizational feasibility is MODERATE. The required skills are available in the market, but the founding team must ensure they have the right technical core competency and a plan to scale their managerial capacity.</w:t>
      </w:r>
    </w:p>
    <w:p>
      <w:pPr>
        <w:pStyle w:val="Normal"/>
        <w:spacing w:before="160" w:after="80"/>
        <w:rPr/>
      </w:pPr>
      <w:r>
        <w:rPr>
          <w:b/>
          <w:bCs/>
          <w:sz w:val="23"/>
          <w:szCs w:val="23"/>
        </w:rPr>
        <w:t>1.4  Financial Feasibility</w:t>
      </w:r>
    </w:p>
    <w:p>
      <w:pPr>
        <w:pStyle w:val="Normal"/>
        <w:spacing w:before="60" w:after="60"/>
        <w:jc w:val="both"/>
        <w:rPr/>
      </w:pPr>
      <w:r>
        <w:rPr>
          <w:sz w:val="22"/>
          <w:szCs w:val="22"/>
        </w:rPr>
        <w:t>This dimension determines whether the business can generate enough revenue to be financially viable. The course material emphasizes that entrepreneurs must understand startup costs, ongoing operational costs, and projected revenue streams to assess financial feasibility.</w:t>
      </w:r>
    </w:p>
    <w:p>
      <w:pPr>
        <w:pStyle w:val="Normal"/>
        <w:spacing w:before="60" w:after="60"/>
        <w:jc w:val="both"/>
        <w:rPr/>
      </w:pPr>
      <w:r>
        <w:rPr>
          <w:sz w:val="22"/>
          <w:szCs w:val="22"/>
        </w:rPr>
        <w:t>The solar installation business has a relatively manageable startup cost structure. The main costs are: inventory (solar panels, inverters, batteries), a workshop or storage space, vehicles for field teams, and initial marketing. Revenue is generated through panel sales, installation charges, and after-sales service contracts. Gross margins on solar panel installation in Pakistan are currently between 15-25% depending on the system size and brand. Additionally, because electricity prices in Pakistan keep rising, the payback period for customers keeps getting shorter, which makes the sales pitch easier and the business more financially sustainable.</w:t>
      </w:r>
    </w:p>
    <w:p>
      <w:pPr>
        <w:pStyle w:val="Normal"/>
        <w:spacing w:before="70" w:after="70"/>
        <w:jc w:val="both"/>
        <w:rPr/>
      </w:pPr>
      <w:r>
        <w:rPr>
          <w:b/>
          <w:bCs/>
          <w:sz w:val="22"/>
          <w:szCs w:val="22"/>
        </w:rPr>
        <w:t xml:space="preserve">Conclusion: </w:t>
      </w:r>
      <w:r>
        <w:rPr>
          <w:sz w:val="22"/>
          <w:szCs w:val="22"/>
        </w:rPr>
        <w:t>Financial feasibility is HIGH. The business model is scalable, margins are reasonable, and customer payback periods are shortening due to rising electricity costs, making the value proposition stronger over time.</w:t>
      </w:r>
    </w:p>
    <w:p>
      <w:pPr>
        <w:pStyle w:val="Normal"/>
        <w:spacing w:before="160" w:after="80"/>
        <w:rPr/>
      </w:pPr>
      <w:r>
        <w:rPr>
          <w:b/>
          <w:bCs/>
          <w:sz w:val="23"/>
          <w:szCs w:val="23"/>
        </w:rPr>
        <w:t>Overall Feasibility Summary</w:t>
      </w:r>
    </w:p>
    <w:tbl>
      <w:tblPr>
        <w:tblW w:w="9360" w:type="dxa"/>
        <w:jc w:val="left"/>
        <w:tblInd w:w="0" w:type="dxa"/>
        <w:tblLayout w:type="fixed"/>
        <w:tblCellMar>
          <w:top w:w="80" w:type="dxa"/>
          <w:left w:w="120" w:type="dxa"/>
          <w:bottom w:w="80" w:type="dxa"/>
          <w:right w:w="120" w:type="dxa"/>
        </w:tblCellMar>
      </w:tblPr>
      <w:tblGrid>
        <w:gridCol w:w="2600"/>
        <w:gridCol w:w="1543"/>
        <w:gridCol w:w="5217"/>
      </w:tblGrid>
      <w:tr>
        <w:trPr/>
        <w:tc>
          <w:tcPr>
            <w:tcW w:w="2600" w:type="dxa"/>
            <w:tcBorders>
              <w:top w:val="single" w:sz="2" w:space="0" w:color="BBBBBB"/>
              <w:left w:val="single" w:sz="2" w:space="0" w:color="BBBBBB"/>
              <w:bottom w:val="single" w:sz="2" w:space="0" w:color="BBBBBB"/>
              <w:right w:val="single" w:sz="2" w:space="0" w:color="BBBBBB"/>
            </w:tcBorders>
            <w:shd w:fill="1F3864" w:val="clear"/>
          </w:tcPr>
          <w:p>
            <w:pPr>
              <w:pStyle w:val="Normal"/>
              <w:rPr/>
            </w:pPr>
            <w:r>
              <w:rPr>
                <w:b/>
                <w:bCs/>
                <w:color w:val="FFFFFF"/>
                <w:sz w:val="21"/>
                <w:szCs w:val="21"/>
              </w:rPr>
              <w:t>Feasibility Dimension</w:t>
            </w:r>
          </w:p>
        </w:tc>
        <w:tc>
          <w:tcPr>
            <w:tcW w:w="1543" w:type="dxa"/>
            <w:tcBorders>
              <w:top w:val="single" w:sz="2" w:space="0" w:color="BBBBBB"/>
              <w:left w:val="single" w:sz="2" w:space="0" w:color="BBBBBB"/>
              <w:bottom w:val="single" w:sz="2" w:space="0" w:color="BBBBBB"/>
              <w:right w:val="single" w:sz="2" w:space="0" w:color="BBBBBB"/>
            </w:tcBorders>
            <w:shd w:fill="1F3864" w:val="clear"/>
          </w:tcPr>
          <w:p>
            <w:pPr>
              <w:pStyle w:val="Normal"/>
              <w:jc w:val="center"/>
              <w:rPr/>
            </w:pPr>
            <w:r>
              <w:rPr>
                <w:b/>
                <w:bCs/>
                <w:color w:val="FFFFFF"/>
                <w:sz w:val="21"/>
                <w:szCs w:val="21"/>
              </w:rPr>
              <w:t>Rating</w:t>
            </w:r>
          </w:p>
        </w:tc>
        <w:tc>
          <w:tcPr>
            <w:tcW w:w="5217" w:type="dxa"/>
            <w:tcBorders>
              <w:top w:val="single" w:sz="2" w:space="0" w:color="BBBBBB"/>
              <w:left w:val="single" w:sz="2" w:space="0" w:color="BBBBBB"/>
              <w:bottom w:val="single" w:sz="2" w:space="0" w:color="BBBBBB"/>
              <w:right w:val="single" w:sz="2" w:space="0" w:color="BBBBBB"/>
            </w:tcBorders>
            <w:shd w:fill="1F3864" w:val="clear"/>
          </w:tcPr>
          <w:p>
            <w:pPr>
              <w:pStyle w:val="Normal"/>
              <w:rPr/>
            </w:pPr>
            <w:r>
              <w:rPr>
                <w:b/>
                <w:bCs/>
                <w:color w:val="FFFFFF"/>
                <w:sz w:val="21"/>
                <w:szCs w:val="21"/>
              </w:rPr>
              <w:t>Key Reason</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b/>
                <w:bCs/>
                <w:sz w:val="21"/>
                <w:szCs w:val="21"/>
              </w:rPr>
              <w:t>Product / Service Feasibility</w:t>
            </w:r>
          </w:p>
        </w:tc>
        <w:tc>
          <w:tcPr>
            <w:tcW w:w="1543" w:type="dxa"/>
            <w:tcBorders>
              <w:top w:val="single" w:sz="2" w:space="0" w:color="BBBBBB"/>
              <w:left w:val="single" w:sz="2" w:space="0" w:color="BBBBBB"/>
              <w:bottom w:val="single" w:sz="2" w:space="0" w:color="BBBBBB"/>
              <w:right w:val="single" w:sz="2" w:space="0" w:color="BBBBBB"/>
            </w:tcBorders>
            <w:shd w:fill="2E7D32" w:val="clear"/>
          </w:tcPr>
          <w:p>
            <w:pPr>
              <w:pStyle w:val="Normal"/>
              <w:jc w:val="center"/>
              <w:rPr/>
            </w:pPr>
            <w:r>
              <w:rPr>
                <w:b/>
                <w:bCs/>
                <w:color w:val="FFFFFF"/>
                <w:sz w:val="21"/>
                <w:szCs w:val="21"/>
              </w:rPr>
              <w:t>HIGH</w:t>
            </w:r>
          </w:p>
        </w:tc>
        <w:tc>
          <w:tcPr>
            <w:tcW w:w="5217"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Strong value creation – solves daily load-shedding problem and reduces electricity costs for customers.</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b/>
                <w:bCs/>
                <w:sz w:val="21"/>
                <w:szCs w:val="21"/>
              </w:rPr>
              <w:t>Industry / Market Feasibility</w:t>
            </w:r>
          </w:p>
        </w:tc>
        <w:tc>
          <w:tcPr>
            <w:tcW w:w="1543" w:type="dxa"/>
            <w:tcBorders>
              <w:top w:val="single" w:sz="2" w:space="0" w:color="BBBBBB"/>
              <w:left w:val="single" w:sz="2" w:space="0" w:color="BBBBBB"/>
              <w:bottom w:val="single" w:sz="2" w:space="0" w:color="BBBBBB"/>
              <w:right w:val="single" w:sz="2" w:space="0" w:color="BBBBBB"/>
            </w:tcBorders>
            <w:shd w:fill="2E7D32" w:val="clear"/>
          </w:tcPr>
          <w:p>
            <w:pPr>
              <w:pStyle w:val="Normal"/>
              <w:jc w:val="center"/>
              <w:rPr/>
            </w:pPr>
            <w:r>
              <w:rPr>
                <w:b/>
                <w:bCs/>
                <w:color w:val="FFFFFF"/>
                <w:sz w:val="21"/>
                <w:szCs w:val="21"/>
              </w:rPr>
              <w:t>HIGH</w:t>
            </w:r>
          </w:p>
        </w:tc>
        <w:tc>
          <w:tcPr>
            <w:tcW w:w="5217"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Fast-growing industry, large underserved market, and room for differentiated local players.</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b/>
                <w:bCs/>
                <w:sz w:val="21"/>
                <w:szCs w:val="21"/>
              </w:rPr>
              <w:t>Organizational Feasibility</w:t>
            </w:r>
          </w:p>
        </w:tc>
        <w:tc>
          <w:tcPr>
            <w:tcW w:w="1543" w:type="dxa"/>
            <w:tcBorders>
              <w:top w:val="single" w:sz="2" w:space="0" w:color="BBBBBB"/>
              <w:left w:val="single" w:sz="2" w:space="0" w:color="BBBBBB"/>
              <w:bottom w:val="single" w:sz="2" w:space="0" w:color="BBBBBB"/>
              <w:right w:val="single" w:sz="2" w:space="0" w:color="BBBBBB"/>
            </w:tcBorders>
            <w:shd w:fill="E65100" w:val="clear"/>
          </w:tcPr>
          <w:p>
            <w:pPr>
              <w:pStyle w:val="Normal"/>
              <w:jc w:val="center"/>
              <w:rPr/>
            </w:pPr>
            <w:r>
              <w:rPr>
                <w:b/>
                <w:bCs/>
                <w:color w:val="FFFFFF"/>
                <w:sz w:val="21"/>
                <w:szCs w:val="21"/>
              </w:rPr>
              <w:t>MODERATE</w:t>
            </w:r>
          </w:p>
        </w:tc>
        <w:tc>
          <w:tcPr>
            <w:tcW w:w="5217"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Skills are available but the founding team must proactively address technical and managerial gaps.</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b/>
                <w:bCs/>
                <w:sz w:val="21"/>
                <w:szCs w:val="21"/>
              </w:rPr>
              <w:t>Financial Feasibility</w:t>
            </w:r>
          </w:p>
        </w:tc>
        <w:tc>
          <w:tcPr>
            <w:tcW w:w="1543" w:type="dxa"/>
            <w:tcBorders>
              <w:top w:val="single" w:sz="2" w:space="0" w:color="BBBBBB"/>
              <w:left w:val="single" w:sz="2" w:space="0" w:color="BBBBBB"/>
              <w:bottom w:val="single" w:sz="2" w:space="0" w:color="BBBBBB"/>
              <w:right w:val="single" w:sz="2" w:space="0" w:color="BBBBBB"/>
            </w:tcBorders>
            <w:shd w:fill="2E7D32" w:val="clear"/>
          </w:tcPr>
          <w:p>
            <w:pPr>
              <w:pStyle w:val="Normal"/>
              <w:jc w:val="center"/>
              <w:rPr/>
            </w:pPr>
            <w:r>
              <w:rPr>
                <w:b/>
                <w:bCs/>
                <w:color w:val="FFFFFF"/>
                <w:sz w:val="21"/>
                <w:szCs w:val="21"/>
              </w:rPr>
              <w:t>HIGH</w:t>
            </w:r>
          </w:p>
        </w:tc>
        <w:tc>
          <w:tcPr>
            <w:tcW w:w="5217"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Scalable model with 15–25% margins; improving payback periods as electricity costs rise.</w:t>
            </w:r>
          </w:p>
        </w:tc>
      </w:tr>
    </w:tbl>
    <w:p>
      <w:pPr>
        <w:pStyle w:val="Normal"/>
        <w:spacing w:before="0" w:after="200"/>
        <w:rPr/>
      </w:pPr>
      <w:r>
        <w:rPr/>
      </w:r>
    </w:p>
    <w:p>
      <w:pPr>
        <w:pStyle w:val="Normal"/>
        <w:spacing w:before="60" w:after="60"/>
        <w:jc w:val="both"/>
        <w:rPr/>
      </w:pPr>
      <w:r>
        <w:rPr>
          <w:sz w:val="22"/>
          <w:szCs w:val="22"/>
        </w:rPr>
        <w:t>Overall, the solar energy installation business in Pakistan passes the feasibility test across all four dimensions. The most critical area to address is organizational capacity – specifically ensuring the team has the right technical core competencies and a solid plan for managing growth without hitting the managerial capacity wall.</w:t>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b/>
          <w:bCs/>
          <w:color w:val="1F3864"/>
          <w:sz w:val="26"/>
          <w:szCs w:val="26"/>
        </w:rPr>
      </w:pPr>
      <w:r>
        <w:rPr/>
      </w:r>
    </w:p>
    <w:p>
      <w:pPr>
        <w:pStyle w:val="Normal"/>
        <w:pBdr>
          <w:bottom w:val="single" w:sz="4" w:space="4" w:color="1F3864"/>
        </w:pBdr>
        <w:spacing w:before="300" w:after="120"/>
        <w:rPr/>
      </w:pPr>
      <w:r>
        <w:rPr>
          <w:b/>
          <w:bCs/>
          <w:color w:val="1F3864"/>
          <w:sz w:val="26"/>
          <w:szCs w:val="26"/>
        </w:rPr>
        <w:t>Part 2: SWOT Analysis – Solar Energy Installation Business</w:t>
      </w:r>
    </w:p>
    <w:p>
      <w:pPr>
        <w:pStyle w:val="Normal"/>
        <w:spacing w:before="60" w:after="60"/>
        <w:jc w:val="both"/>
        <w:rPr/>
      </w:pPr>
      <w:r>
        <w:rPr>
          <w:sz w:val="22"/>
          <w:szCs w:val="22"/>
        </w:rPr>
        <w:t>According to the course material, SWOT analysis is a tool for evaluating a firm's internal strengths and weaknesses alongside external opportunities and threats. Internal factors are within the firm's control, while external factors come from the broader environment. The course material also emphasizes that strengths must be tied to real core competencies, weaknesses to genuine skills gaps, opportunities to observable trends, and threats to forces like the Five Forces model.</w:t>
      </w:r>
    </w:p>
    <w:tbl>
      <w:tblPr>
        <w:tblW w:w="9360" w:type="dxa"/>
        <w:jc w:val="left"/>
        <w:tblInd w:w="0" w:type="dxa"/>
        <w:tblLayout w:type="fixed"/>
        <w:tblCellMar>
          <w:top w:w="100" w:type="dxa"/>
          <w:left w:w="140" w:type="dxa"/>
          <w:bottom w:w="100" w:type="dxa"/>
          <w:right w:w="140" w:type="dxa"/>
        </w:tblCellMar>
      </w:tblPr>
      <w:tblGrid>
        <w:gridCol w:w="4680"/>
        <w:gridCol w:w="4679"/>
      </w:tblGrid>
      <w:tr>
        <w:trPr/>
        <w:tc>
          <w:tcPr>
            <w:tcW w:w="4680" w:type="dxa"/>
            <w:tcBorders>
              <w:top w:val="single" w:sz="2" w:space="0" w:color="BBBBBB"/>
              <w:left w:val="single" w:sz="2" w:space="0" w:color="BBBBBB"/>
              <w:bottom w:val="single" w:sz="2" w:space="0" w:color="BBBBBB"/>
              <w:right w:val="single" w:sz="2" w:space="0" w:color="BBBBBB"/>
            </w:tcBorders>
            <w:shd w:fill="D5E8D4" w:val="clear"/>
          </w:tcPr>
          <w:p>
            <w:pPr>
              <w:pStyle w:val="Normal"/>
              <w:spacing w:before="0" w:after="60"/>
              <w:rPr/>
            </w:pPr>
            <w:r>
              <w:rPr>
                <w:b/>
                <w:bCs/>
                <w:sz w:val="22"/>
                <w:szCs w:val="22"/>
              </w:rPr>
              <w:t>STRENGTHS (Internal Core Competencies &amp; Key Assets)</w:t>
            </w:r>
          </w:p>
          <w:p>
            <w:pPr>
              <w:pStyle w:val="ListParagraph"/>
              <w:numPr>
                <w:ilvl w:val="0"/>
                <w:numId w:val="3"/>
              </w:numPr>
              <w:spacing w:before="28" w:after="28"/>
              <w:rPr/>
            </w:pPr>
            <w:r>
              <w:rPr>
                <w:sz w:val="20"/>
                <w:szCs w:val="20"/>
              </w:rPr>
              <w:t>Core competency: Ability to provide fast, reliable local installation and strong after-sales support – something large importers cannot easily match</w:t>
            </w:r>
          </w:p>
          <w:p>
            <w:pPr>
              <w:pStyle w:val="ListParagraph"/>
              <w:numPr>
                <w:ilvl w:val="0"/>
                <w:numId w:val="1"/>
              </w:numPr>
              <w:spacing w:before="28" w:after="28"/>
              <w:rPr/>
            </w:pPr>
            <w:r>
              <w:rPr>
                <w:sz w:val="20"/>
                <w:szCs w:val="20"/>
              </w:rPr>
              <w:t>Physical assets: Warehouse, tools, vehicles, and solar inventory for immediate delivery</w:t>
            </w:r>
          </w:p>
          <w:p>
            <w:pPr>
              <w:pStyle w:val="ListParagraph"/>
              <w:numPr>
                <w:ilvl w:val="0"/>
                <w:numId w:val="1"/>
              </w:numPr>
              <w:spacing w:before="28" w:after="28"/>
              <w:rPr/>
            </w:pPr>
            <w:r>
              <w:rPr>
                <w:sz w:val="20"/>
                <w:szCs w:val="20"/>
              </w:rPr>
              <w:t>Human asset: Trained technical team with hands-on solar installation expertise</w:t>
            </w:r>
          </w:p>
          <w:p>
            <w:pPr>
              <w:pStyle w:val="ListParagraph"/>
              <w:numPr>
                <w:ilvl w:val="0"/>
                <w:numId w:val="1"/>
              </w:numPr>
              <w:spacing w:before="28" w:after="28"/>
              <w:rPr/>
            </w:pPr>
            <w:r>
              <w:rPr>
                <w:sz w:val="20"/>
                <w:szCs w:val="20"/>
              </w:rPr>
              <w:t>Customer relationships: Trust built through community presence and word-of-mouth referrals</w:t>
            </w:r>
          </w:p>
          <w:p>
            <w:pPr>
              <w:pStyle w:val="ListParagraph"/>
              <w:numPr>
                <w:ilvl w:val="0"/>
                <w:numId w:val="1"/>
              </w:numPr>
              <w:spacing w:before="28" w:after="28"/>
              <w:rPr/>
            </w:pPr>
            <w:r>
              <w:rPr>
                <w:sz w:val="20"/>
                <w:szCs w:val="20"/>
              </w:rPr>
              <w:t>Strong value proposition: Customers save money on every electricity bill after installation</w:t>
            </w:r>
          </w:p>
        </w:tc>
        <w:tc>
          <w:tcPr>
            <w:tcW w:w="4679" w:type="dxa"/>
            <w:tcBorders>
              <w:top w:val="single" w:sz="2" w:space="0" w:color="BBBBBB"/>
              <w:left w:val="single" w:sz="2" w:space="0" w:color="BBBBBB"/>
              <w:bottom w:val="single" w:sz="2" w:space="0" w:color="BBBBBB"/>
              <w:right w:val="single" w:sz="2" w:space="0" w:color="BBBBBB"/>
            </w:tcBorders>
            <w:shd w:fill="FFE6CC" w:val="clear"/>
          </w:tcPr>
          <w:p>
            <w:pPr>
              <w:pStyle w:val="Normal"/>
              <w:spacing w:before="0" w:after="60"/>
              <w:rPr/>
            </w:pPr>
            <w:r>
              <w:rPr>
                <w:b/>
                <w:bCs/>
                <w:sz w:val="22"/>
                <w:szCs w:val="22"/>
              </w:rPr>
              <w:t>WEAKNESSES (Skills Gaps &amp; Managerial Capacity Issues)</w:t>
            </w:r>
          </w:p>
          <w:p>
            <w:pPr>
              <w:pStyle w:val="ListParagraph"/>
              <w:numPr>
                <w:ilvl w:val="0"/>
                <w:numId w:val="1"/>
              </w:numPr>
              <w:spacing w:before="28" w:after="28"/>
              <w:rPr/>
            </w:pPr>
            <w:r>
              <w:rPr>
                <w:sz w:val="20"/>
                <w:szCs w:val="20"/>
              </w:rPr>
              <w:t>Skills gap: Shortage of certified electrical engineers and solar technicians in smaller cities (skills profile deficit)</w:t>
            </w:r>
          </w:p>
          <w:p>
            <w:pPr>
              <w:pStyle w:val="ListParagraph"/>
              <w:numPr>
                <w:ilvl w:val="0"/>
                <w:numId w:val="1"/>
              </w:numPr>
              <w:spacing w:before="28" w:after="28"/>
              <w:rPr/>
            </w:pPr>
            <w:r>
              <w:rPr>
                <w:sz w:val="20"/>
                <w:szCs w:val="20"/>
              </w:rPr>
              <w:t>Managerial capacity problem: As the business grows, founders risk being overwhelmed by operations, slowing strategic expansion</w:t>
            </w:r>
          </w:p>
          <w:p>
            <w:pPr>
              <w:pStyle w:val="ListParagraph"/>
              <w:numPr>
                <w:ilvl w:val="0"/>
                <w:numId w:val="1"/>
              </w:numPr>
              <w:spacing w:before="28" w:after="28"/>
              <w:rPr/>
            </w:pPr>
            <w:r>
              <w:rPr>
                <w:sz w:val="20"/>
                <w:szCs w:val="20"/>
              </w:rPr>
              <w:t>Financial gap: Limited initial capital reduces inventory range and marketing reach</w:t>
            </w:r>
          </w:p>
          <w:p>
            <w:pPr>
              <w:pStyle w:val="ListParagraph"/>
              <w:numPr>
                <w:ilvl w:val="0"/>
                <w:numId w:val="1"/>
              </w:numPr>
              <w:spacing w:before="28" w:after="28"/>
              <w:rPr/>
            </w:pPr>
            <w:r>
              <w:rPr>
                <w:sz w:val="20"/>
                <w:szCs w:val="20"/>
              </w:rPr>
              <w:t>Brand awareness: As a new entrant, there is no established brand reputation yet</w:t>
            </w:r>
          </w:p>
          <w:p>
            <w:pPr>
              <w:pStyle w:val="ListParagraph"/>
              <w:numPr>
                <w:ilvl w:val="0"/>
                <w:numId w:val="1"/>
              </w:numPr>
              <w:spacing w:before="28" w:after="28"/>
              <w:rPr/>
            </w:pPr>
            <w:r>
              <w:rPr>
                <w:sz w:val="20"/>
                <w:szCs w:val="20"/>
              </w:rPr>
              <w:t>Dependence on imported panels – no local manufacturing means supply chain vulnerability</w:t>
            </w:r>
          </w:p>
        </w:tc>
      </w:tr>
      <w:tr>
        <w:trPr/>
        <w:tc>
          <w:tcPr>
            <w:tcW w:w="4680" w:type="dxa"/>
            <w:tcBorders>
              <w:top w:val="single" w:sz="2" w:space="0" w:color="BBBBBB"/>
              <w:left w:val="single" w:sz="2" w:space="0" w:color="BBBBBB"/>
              <w:bottom w:val="single" w:sz="2" w:space="0" w:color="BBBBBB"/>
              <w:right w:val="single" w:sz="2" w:space="0" w:color="BBBBBB"/>
            </w:tcBorders>
            <w:shd w:fill="DAE8FC" w:val="clear"/>
          </w:tcPr>
          <w:p>
            <w:pPr>
              <w:pStyle w:val="Normal"/>
              <w:spacing w:before="0" w:after="60"/>
              <w:rPr/>
            </w:pPr>
            <w:r>
              <w:rPr>
                <w:b/>
                <w:bCs/>
                <w:sz w:val="22"/>
                <w:szCs w:val="22"/>
              </w:rPr>
              <w:t>OPPORTUNITIES (External Trends &amp; Market Gaps)</w:t>
            </w:r>
          </w:p>
          <w:p>
            <w:pPr>
              <w:pStyle w:val="ListParagraph"/>
              <w:numPr>
                <w:ilvl w:val="0"/>
                <w:numId w:val="1"/>
              </w:numPr>
              <w:spacing w:before="28" w:after="28"/>
              <w:rPr/>
            </w:pPr>
            <w:r>
              <w:rPr>
                <w:sz w:val="20"/>
                <w:szCs w:val="20"/>
              </w:rPr>
              <w:t>Opportunity gap: Millions of homes and commercial buildings still not solar-powered – massive market waiting to be served</w:t>
            </w:r>
          </w:p>
          <w:p>
            <w:pPr>
              <w:pStyle w:val="ListParagraph"/>
              <w:numPr>
                <w:ilvl w:val="0"/>
                <w:numId w:val="1"/>
              </w:numPr>
              <w:spacing w:before="28" w:after="28"/>
              <w:rPr/>
            </w:pPr>
            <w:r>
              <w:rPr>
                <w:sz w:val="20"/>
                <w:szCs w:val="20"/>
              </w:rPr>
              <w:t>Economic force: Rising electricity tariffs (Rs. 60–70/unit) make solar's payback period shorter every year</w:t>
            </w:r>
          </w:p>
          <w:p>
            <w:pPr>
              <w:pStyle w:val="ListParagraph"/>
              <w:numPr>
                <w:ilvl w:val="0"/>
                <w:numId w:val="1"/>
              </w:numPr>
              <w:spacing w:before="28" w:after="28"/>
              <w:rPr/>
            </w:pPr>
            <w:r>
              <w:rPr>
                <w:sz w:val="20"/>
                <w:szCs w:val="20"/>
              </w:rPr>
              <w:t>Social trend: Growing health and sustainability consciousness pushing consumers toward clean energy</w:t>
            </w:r>
          </w:p>
          <w:p>
            <w:pPr>
              <w:pStyle w:val="ListParagraph"/>
              <w:numPr>
                <w:ilvl w:val="0"/>
                <w:numId w:val="1"/>
              </w:numPr>
              <w:spacing w:before="28" w:after="28"/>
              <w:rPr/>
            </w:pPr>
            <w:r>
              <w:rPr>
                <w:sz w:val="20"/>
                <w:szCs w:val="20"/>
              </w:rPr>
              <w:t>Political force: Government net metering policy and AEDB subsidies provide a favorable regulatory environment</w:t>
            </w:r>
          </w:p>
          <w:p>
            <w:pPr>
              <w:pStyle w:val="ListParagraph"/>
              <w:numPr>
                <w:ilvl w:val="0"/>
                <w:numId w:val="1"/>
              </w:numPr>
              <w:spacing w:before="28" w:after="28"/>
              <w:rPr/>
            </w:pPr>
            <w:r>
              <w:rPr>
                <w:sz w:val="20"/>
                <w:szCs w:val="20"/>
              </w:rPr>
              <w:t>Technological advance: Improving panel efficiency and battery storage technology expanding product options</w:t>
            </w:r>
          </w:p>
        </w:tc>
        <w:tc>
          <w:tcPr>
            <w:tcW w:w="4679" w:type="dxa"/>
            <w:tcBorders>
              <w:top w:val="single" w:sz="2" w:space="0" w:color="BBBBBB"/>
              <w:left w:val="single" w:sz="2" w:space="0" w:color="BBBBBB"/>
              <w:bottom w:val="single" w:sz="2" w:space="0" w:color="BBBBBB"/>
              <w:right w:val="single" w:sz="2" w:space="0" w:color="BBBBBB"/>
            </w:tcBorders>
            <w:shd w:fill="F8CECC" w:val="clear"/>
          </w:tcPr>
          <w:p>
            <w:pPr>
              <w:pStyle w:val="Normal"/>
              <w:spacing w:before="0" w:after="60"/>
              <w:rPr/>
            </w:pPr>
            <w:r>
              <w:rPr>
                <w:b/>
                <w:bCs/>
                <w:sz w:val="22"/>
                <w:szCs w:val="22"/>
              </w:rPr>
              <w:t>THREATS (Five Forces &amp; External Risks)</w:t>
            </w:r>
          </w:p>
          <w:p>
            <w:pPr>
              <w:pStyle w:val="ListParagraph"/>
              <w:numPr>
                <w:ilvl w:val="0"/>
                <w:numId w:val="1"/>
              </w:numPr>
              <w:spacing w:before="28" w:after="28"/>
              <w:rPr/>
            </w:pPr>
            <w:r>
              <w:rPr>
                <w:sz w:val="20"/>
                <w:szCs w:val="20"/>
              </w:rPr>
              <w:t>Threat of new entrants: Low barriers to entry mean more local installers entering the market each year</w:t>
            </w:r>
          </w:p>
          <w:p>
            <w:pPr>
              <w:pStyle w:val="ListParagraph"/>
              <w:numPr>
                <w:ilvl w:val="0"/>
                <w:numId w:val="1"/>
              </w:numPr>
              <w:spacing w:before="28" w:after="28"/>
              <w:rPr/>
            </w:pPr>
            <w:r>
              <w:rPr>
                <w:sz w:val="20"/>
                <w:szCs w:val="20"/>
              </w:rPr>
              <w:t>Threat of substitutes: Grid electricity, gas generators, and future battery-only systems could reduce demand</w:t>
            </w:r>
          </w:p>
          <w:p>
            <w:pPr>
              <w:pStyle w:val="ListParagraph"/>
              <w:numPr>
                <w:ilvl w:val="0"/>
                <w:numId w:val="1"/>
              </w:numPr>
              <w:spacing w:before="28" w:after="28"/>
              <w:rPr/>
            </w:pPr>
            <w:r>
              <w:rPr>
                <w:sz w:val="20"/>
                <w:szCs w:val="20"/>
              </w:rPr>
              <w:t>Rivalry: Established Chinese brands and large national importers compete aggressively on price</w:t>
            </w:r>
          </w:p>
          <w:p>
            <w:pPr>
              <w:pStyle w:val="ListParagraph"/>
              <w:numPr>
                <w:ilvl w:val="0"/>
                <w:numId w:val="1"/>
              </w:numPr>
              <w:spacing w:before="28" w:after="28"/>
              <w:rPr/>
            </w:pPr>
            <w:r>
              <w:rPr>
                <w:sz w:val="20"/>
                <w:szCs w:val="20"/>
              </w:rPr>
              <w:t>Political/regulatory threat: Inconsistent government energy policy or removal of subsidies could damage demand</w:t>
            </w:r>
          </w:p>
          <w:p>
            <w:pPr>
              <w:pStyle w:val="ListParagraph"/>
              <w:numPr>
                <w:ilvl w:val="0"/>
                <w:numId w:val="1"/>
              </w:numPr>
              <w:spacing w:before="28" w:after="28"/>
              <w:rPr/>
            </w:pPr>
            <w:r>
              <w:rPr>
                <w:sz w:val="20"/>
                <w:szCs w:val="20"/>
              </w:rPr>
              <w:t>Economic threat: Currency depreciation increases cost of imported equipment, squeezing profit margins</w:t>
            </w:r>
          </w:p>
        </w:tc>
      </w:tr>
    </w:tbl>
    <w:p>
      <w:pPr>
        <w:pStyle w:val="Normal"/>
        <w:spacing w:before="0" w:after="160"/>
        <w:rPr/>
      </w:pPr>
      <w:r>
        <w:rPr/>
      </w:r>
    </w:p>
    <w:p>
      <w:pPr>
        <w:pStyle w:val="Normal"/>
        <w:spacing w:before="160" w:after="80"/>
        <w:rPr/>
      </w:pPr>
      <w:r>
        <w:rPr>
          <w:b/>
          <w:bCs/>
          <w:sz w:val="23"/>
          <w:szCs w:val="23"/>
        </w:rPr>
        <w:t>SWOT Strategic Implications</w:t>
      </w:r>
    </w:p>
    <w:p>
      <w:pPr>
        <w:pStyle w:val="Normal"/>
        <w:spacing w:before="70" w:after="70"/>
        <w:jc w:val="both"/>
        <w:rPr/>
      </w:pPr>
      <w:r>
        <w:rPr>
          <w:b/>
          <w:bCs/>
          <w:sz w:val="22"/>
          <w:szCs w:val="22"/>
        </w:rPr>
        <w:t xml:space="preserve">S-O Strategy (Use Strengths to Capture Opportunities): </w:t>
      </w:r>
      <w:r>
        <w:rPr>
          <w:sz w:val="22"/>
          <w:szCs w:val="22"/>
        </w:rPr>
        <w:t>Leverage the core competency of local, reliable service to capture the massive opportunity gap in underserved cities. Use the strong value proposition (electricity savings) to convert customers who are already frustrated with rising tariffs.</w:t>
      </w:r>
    </w:p>
    <w:p>
      <w:pPr>
        <w:pStyle w:val="Normal"/>
        <w:spacing w:before="70" w:after="70"/>
        <w:jc w:val="both"/>
        <w:rPr/>
      </w:pPr>
      <w:r>
        <w:rPr>
          <w:b/>
          <w:bCs/>
          <w:sz w:val="22"/>
          <w:szCs w:val="22"/>
        </w:rPr>
        <w:t xml:space="preserve">W-O Strategy (Fix Weaknesses to Exploit Opportunities): </w:t>
      </w:r>
      <w:r>
        <w:rPr>
          <w:sz w:val="22"/>
          <w:szCs w:val="22"/>
        </w:rPr>
        <w:t>Address the skills gap by training and certifying technicians in-house, and hire a professional operations manager early to prevent the managerial capacity problem from limiting growth.</w:t>
      </w:r>
    </w:p>
    <w:p>
      <w:pPr>
        <w:pStyle w:val="Normal"/>
        <w:spacing w:before="70" w:after="70"/>
        <w:jc w:val="both"/>
        <w:rPr/>
      </w:pPr>
      <w:r>
        <w:rPr>
          <w:b/>
          <w:bCs/>
          <w:sz w:val="22"/>
          <w:szCs w:val="22"/>
        </w:rPr>
        <w:t xml:space="preserve">S-T Strategy (Use Strengths to Manage Threats): </w:t>
      </w:r>
      <w:r>
        <w:rPr>
          <w:sz w:val="22"/>
          <w:szCs w:val="22"/>
        </w:rPr>
        <w:t>Differentiate from rivals and new entrants by building a strong local brand based on quality installation and trusted after-sales service – something price-focused competitors cannot easily replicate.</w:t>
      </w:r>
    </w:p>
    <w:p>
      <w:pPr>
        <w:pStyle w:val="Normal"/>
        <w:spacing w:before="70" w:after="70"/>
        <w:jc w:val="both"/>
        <w:rPr/>
      </w:pPr>
      <w:r>
        <w:rPr>
          <w:b/>
          <w:bCs/>
          <w:sz w:val="22"/>
          <w:szCs w:val="22"/>
        </w:rPr>
        <w:t xml:space="preserve">W-T Strategy (Minimize Weaknesses to Avoid Threats): </w:t>
      </w:r>
      <w:r>
        <w:rPr>
          <w:sz w:val="22"/>
          <w:szCs w:val="22"/>
        </w:rPr>
        <w:t>Reduce supply chain risk by developing relationships with multiple panel suppliers and maintaining a buffer inventory to protect against currency fluctuation-driven price spikes.</w:t>
      </w:r>
    </w:p>
    <w:p>
      <w:pPr>
        <w:pStyle w:val="Normal"/>
        <w:pBdr>
          <w:bottom w:val="single" w:sz="4" w:space="4" w:color="1F3864"/>
        </w:pBdr>
        <w:spacing w:before="300" w:after="120"/>
        <w:rPr/>
      </w:pPr>
      <w:r>
        <w:rPr>
          <w:b/>
          <w:bCs/>
          <w:color w:val="1F3864"/>
          <w:sz w:val="26"/>
          <w:szCs w:val="26"/>
        </w:rPr>
        <w:t>Part 3: PESTEL Analysis – Solar Energy Installation Business</w:t>
      </w:r>
    </w:p>
    <w:p>
      <w:pPr>
        <w:pStyle w:val="Normal"/>
        <w:spacing w:before="60" w:after="60"/>
        <w:jc w:val="both"/>
        <w:rPr/>
      </w:pPr>
      <w:r>
        <w:rPr>
          <w:sz w:val="22"/>
          <w:szCs w:val="22"/>
        </w:rPr>
        <w:t>According to the course material, environmental trends analysis (PESTEL) is used to identify opportunity gaps – the difference between what is currently available and what is possible. Each factor in the macro-environment either creates new opportunities or introduces new threats for the business. The analysis below is specifically applied to the solar energy installation business in Pakistan.</w:t>
      </w:r>
    </w:p>
    <w:tbl>
      <w:tblPr>
        <w:tblW w:w="9360" w:type="dxa"/>
        <w:jc w:val="left"/>
        <w:tblInd w:w="0" w:type="dxa"/>
        <w:tblLayout w:type="fixed"/>
        <w:tblCellMar>
          <w:top w:w="80" w:type="dxa"/>
          <w:left w:w="120" w:type="dxa"/>
          <w:bottom w:w="80" w:type="dxa"/>
          <w:right w:w="120" w:type="dxa"/>
        </w:tblCellMar>
      </w:tblPr>
      <w:tblGrid>
        <w:gridCol w:w="2100"/>
        <w:gridCol w:w="7259"/>
      </w:tblGrid>
      <w:tr>
        <w:trPr/>
        <w:tc>
          <w:tcPr>
            <w:tcW w:w="2100" w:type="dxa"/>
            <w:tcBorders>
              <w:top w:val="single" w:sz="2" w:space="0" w:color="BBBBBB"/>
              <w:left w:val="single" w:sz="2" w:space="0" w:color="BBBBBB"/>
              <w:bottom w:val="single" w:sz="2" w:space="0" w:color="BBBBBB"/>
              <w:right w:val="single" w:sz="2" w:space="0" w:color="BBBBBB"/>
            </w:tcBorders>
            <w:shd w:fill="1F3864" w:val="clear"/>
          </w:tcPr>
          <w:p>
            <w:pPr>
              <w:pStyle w:val="Normal"/>
              <w:rPr/>
            </w:pPr>
            <w:r>
              <w:rPr>
                <w:b/>
                <w:bCs/>
                <w:color w:val="FFFFFF"/>
                <w:sz w:val="21"/>
                <w:szCs w:val="21"/>
              </w:rPr>
              <w:t>PESTEL Factor</w:t>
            </w:r>
          </w:p>
        </w:tc>
        <w:tc>
          <w:tcPr>
            <w:tcW w:w="7259" w:type="dxa"/>
            <w:tcBorders>
              <w:top w:val="single" w:sz="2" w:space="0" w:color="BBBBBB"/>
              <w:left w:val="single" w:sz="2" w:space="0" w:color="BBBBBB"/>
              <w:bottom w:val="single" w:sz="2" w:space="0" w:color="BBBBBB"/>
              <w:right w:val="single" w:sz="2" w:space="0" w:color="BBBBBB"/>
            </w:tcBorders>
            <w:shd w:fill="1F3864" w:val="clear"/>
          </w:tcPr>
          <w:p>
            <w:pPr>
              <w:pStyle w:val="Normal"/>
              <w:rPr/>
            </w:pPr>
            <w:r>
              <w:rPr>
                <w:b/>
                <w:bCs/>
                <w:color w:val="FFFFFF"/>
                <w:sz w:val="21"/>
                <w:szCs w:val="21"/>
              </w:rPr>
              <w:t>Analysis for Solar Energy Business in Pakistan</w:t>
            </w:r>
          </w:p>
        </w:tc>
      </w:tr>
      <w:tr>
        <w:trPr/>
        <w:tc>
          <w:tcPr>
            <w:tcW w:w="2100" w:type="dxa"/>
            <w:tcBorders>
              <w:top w:val="single" w:sz="2" w:space="0" w:color="BBBBBB"/>
              <w:left w:val="single" w:sz="2" w:space="0" w:color="BBBBBB"/>
              <w:bottom w:val="single" w:sz="2" w:space="0" w:color="BBBBBB"/>
              <w:right w:val="single" w:sz="2" w:space="0" w:color="BBBBBB"/>
            </w:tcBorders>
            <w:shd w:fill="EDF6E5" w:val="clear"/>
          </w:tcPr>
          <w:p>
            <w:pPr>
              <w:pStyle w:val="Normal"/>
              <w:rPr/>
            </w:pPr>
            <w:r>
              <w:rPr>
                <w:b/>
                <w:bCs/>
                <w:sz w:val="21"/>
                <w:szCs w:val="21"/>
              </w:rPr>
              <w:t>Political &amp; Regulatory</w:t>
            </w:r>
          </w:p>
        </w:tc>
        <w:tc>
          <w:tcPr>
            <w:tcW w:w="7259"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Pakistan's government, through AEDB and NEPRA, has introduced net metering regulations that allow solar users to sell surplus electricity back to the grid. This is a major regulatory opportunity. However, frequent government changes and inconsistent energy policy (as noted in the course material as a key risk of regulatory environments) mean businesses must stay updated on evolving policies. Drone delivery or similar regulations may in the future affect maintenance drones used for solar panel cleaning – an emerging area to watch.</w:t>
            </w:r>
          </w:p>
        </w:tc>
      </w:tr>
      <w:tr>
        <w:trPr/>
        <w:tc>
          <w:tcPr>
            <w:tcW w:w="2100" w:type="dxa"/>
            <w:tcBorders>
              <w:top w:val="single" w:sz="2" w:space="0" w:color="BBBBBB"/>
              <w:left w:val="single" w:sz="2" w:space="0" w:color="BBBBBB"/>
              <w:bottom w:val="single" w:sz="2" w:space="0" w:color="BBBBBB"/>
              <w:right w:val="single" w:sz="2" w:space="0" w:color="BBBBBB"/>
            </w:tcBorders>
            <w:shd w:fill="FFF9E6" w:val="clear"/>
          </w:tcPr>
          <w:p>
            <w:pPr>
              <w:pStyle w:val="Normal"/>
              <w:rPr/>
            </w:pPr>
            <w:r>
              <w:rPr>
                <w:b/>
                <w:bCs/>
                <w:sz w:val="21"/>
                <w:szCs w:val="21"/>
              </w:rPr>
              <w:t>Economic Forces</w:t>
            </w:r>
          </w:p>
        </w:tc>
        <w:tc>
          <w:tcPr>
            <w:tcW w:w="7259"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The course material emphasizes monitoring consumer spending, interest rates, and who has disposable income. In Pakistan, electricity tariffs have risen sharply to Rs. 60-70 per unit, reducing consumer disposable income on utility spending. This directly creates demand for solar as a cost-saving investment. However, high interest rates make business financing more expensive, and currency depreciation (a major economic risk in Pakistan) raises the cost of imported Chinese solar panels. Entrepreneurs must track these forces closely when pricing products.</w:t>
            </w:r>
          </w:p>
        </w:tc>
      </w:tr>
      <w:tr>
        <w:trPr/>
        <w:tc>
          <w:tcPr>
            <w:tcW w:w="2100" w:type="dxa"/>
            <w:tcBorders>
              <w:top w:val="single" w:sz="2" w:space="0" w:color="BBBBBB"/>
              <w:left w:val="single" w:sz="2" w:space="0" w:color="BBBBBB"/>
              <w:bottom w:val="single" w:sz="2" w:space="0" w:color="BBBBBB"/>
              <w:right w:val="single" w:sz="2" w:space="0" w:color="BBBBBB"/>
            </w:tcBorders>
            <w:shd w:fill="E6F0FF" w:val="clear"/>
          </w:tcPr>
          <w:p>
            <w:pPr>
              <w:pStyle w:val="Normal"/>
              <w:rPr/>
            </w:pPr>
            <w:r>
              <w:rPr>
                <w:b/>
                <w:bCs/>
                <w:sz w:val="21"/>
                <w:szCs w:val="21"/>
              </w:rPr>
              <w:t>Social Forces</w:t>
            </w:r>
          </w:p>
        </w:tc>
        <w:tc>
          <w:tcPr>
            <w:tcW w:w="7259"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The course material identifies social trends as changes in how people behave and set priorities. In Pakistan, there is a rising trend of health and wellness consciousness, environmental awareness, and frustration with load-shedding among urban middle-class households. Additionally, increasing diversity in urban populations and a growing young tech-savvy consumer base mean digital marketing and social proof (reviews, case studies) are becoming powerful sales tools. The desire for personalization mentioned in the course material applies here too – customers increasingly want customized solar system sizes rather than one-size-fits-all packages.</w:t>
            </w:r>
          </w:p>
        </w:tc>
      </w:tr>
      <w:tr>
        <w:trPr/>
        <w:tc>
          <w:tcPr>
            <w:tcW w:w="2100" w:type="dxa"/>
            <w:tcBorders>
              <w:top w:val="single" w:sz="2" w:space="0" w:color="BBBBBB"/>
              <w:left w:val="single" w:sz="2" w:space="0" w:color="BBBBBB"/>
              <w:bottom w:val="single" w:sz="2" w:space="0" w:color="BBBBBB"/>
              <w:right w:val="single" w:sz="2" w:space="0" w:color="BBBBBB"/>
            </w:tcBorders>
            <w:shd w:fill="F9E6FF" w:val="clear"/>
          </w:tcPr>
          <w:p>
            <w:pPr>
              <w:pStyle w:val="Normal"/>
              <w:rPr/>
            </w:pPr>
            <w:r>
              <w:rPr>
                <w:b/>
                <w:bCs/>
                <w:sz w:val="21"/>
                <w:szCs w:val="21"/>
              </w:rPr>
              <w:t>Technological Advances</w:t>
            </w:r>
          </w:p>
        </w:tc>
        <w:tc>
          <w:tcPr>
            <w:tcW w:w="7259"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This is one of the most critical factors for the solar business. The course material highlights that technological advances often dovetail with social and economic shifts to create new industries. Improvements in panel efficiency (from 15% to 22%+ in newer models), lithium battery storage, and smart inverter technology are all rapidly improving the product. For a software engineering student, this is also an opportunity: building a monitoring app for solar system performance or an AI-based load optimization tool could be a complementary tech product that adds significant value to this business.</w:t>
            </w:r>
          </w:p>
        </w:tc>
      </w:tr>
      <w:tr>
        <w:trPr/>
        <w:tc>
          <w:tcPr>
            <w:tcW w:w="2100" w:type="dxa"/>
            <w:tcBorders>
              <w:top w:val="single" w:sz="2" w:space="0" w:color="BBBBBB"/>
              <w:left w:val="single" w:sz="2" w:space="0" w:color="BBBBBB"/>
              <w:bottom w:val="single" w:sz="2" w:space="0" w:color="BBBBBB"/>
              <w:right w:val="single" w:sz="2" w:space="0" w:color="BBBBBB"/>
            </w:tcBorders>
            <w:shd w:fill="E6FFF9" w:val="clear"/>
          </w:tcPr>
          <w:p>
            <w:pPr>
              <w:pStyle w:val="Normal"/>
              <w:rPr/>
            </w:pPr>
            <w:r>
              <w:rPr>
                <w:b/>
                <w:bCs/>
                <w:sz w:val="21"/>
                <w:szCs w:val="21"/>
              </w:rPr>
              <w:t>Environmental</w:t>
            </w:r>
          </w:p>
        </w:tc>
        <w:tc>
          <w:tcPr>
            <w:tcW w:w="7259"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Environmental concerns are a direct driver for the solar energy business. Pakistan is among the world's most climate-vulnerable countries, facing floods, droughts, and extreme heat. This creates both moral motivation and public support for clean energy. The course material links environmental concerns to the rise of clean energy trends, which is exactly the core offering of this business. Government climate commitments and international pressure to reduce carbon emissions also create a favorable long-term policy environment for renewable energy businesses.</w:t>
            </w:r>
          </w:p>
        </w:tc>
      </w:tr>
      <w:tr>
        <w:trPr/>
        <w:tc>
          <w:tcPr>
            <w:tcW w:w="2100" w:type="dxa"/>
            <w:tcBorders>
              <w:top w:val="single" w:sz="2" w:space="0" w:color="BBBBBB"/>
              <w:left w:val="single" w:sz="2" w:space="0" w:color="BBBBBB"/>
              <w:bottom w:val="single" w:sz="2" w:space="0" w:color="BBBBBB"/>
              <w:right w:val="single" w:sz="2" w:space="0" w:color="BBBBBB"/>
            </w:tcBorders>
            <w:shd w:fill="FFF0E6" w:val="clear"/>
          </w:tcPr>
          <w:p>
            <w:pPr>
              <w:pStyle w:val="Normal"/>
              <w:rPr/>
            </w:pPr>
            <w:r>
              <w:rPr>
                <w:b/>
                <w:bCs/>
                <w:sz w:val="21"/>
                <w:szCs w:val="21"/>
              </w:rPr>
              <w:t>Legal</w:t>
            </w:r>
          </w:p>
        </w:tc>
        <w:tc>
          <w:tcPr>
            <w:tcW w:w="7259" w:type="dxa"/>
            <w:tcBorders>
              <w:top w:val="single" w:sz="2" w:space="0" w:color="BBBBBB"/>
              <w:left w:val="single" w:sz="2" w:space="0" w:color="BBBBBB"/>
              <w:bottom w:val="single" w:sz="2" w:space="0" w:color="BBBBBB"/>
              <w:right w:val="single" w:sz="2" w:space="0" w:color="BBBBBB"/>
            </w:tcBorders>
          </w:tcPr>
          <w:p>
            <w:pPr>
              <w:pStyle w:val="Normal"/>
              <w:jc w:val="both"/>
              <w:rPr/>
            </w:pPr>
            <w:r>
              <w:rPr>
                <w:sz w:val="21"/>
                <w:szCs w:val="21"/>
              </w:rPr>
              <w:t>The course material covers legal issues extensively through intellectual property protection and business licensing. For the solar business, legal compliance involves: obtaining a business license, complying with NEPRA's net metering regulations, following AEDB installation standards, and ensuring safety certifications for technicians. Additionally, contracts with customers for installation and warranty must be legally drafted to protect both parties. If the business develops proprietary monitoring software or a unique installation process, IP protection through patents or trade secrets should also be considered.</w:t>
            </w:r>
          </w:p>
        </w:tc>
      </w:tr>
    </w:tbl>
    <w:p>
      <w:pPr>
        <w:pStyle w:val="Normal"/>
        <w:spacing w:before="0" w:after="160"/>
        <w:rPr/>
      </w:pPr>
      <w:r>
        <w:rPr/>
      </w:r>
    </w:p>
    <w:p>
      <w:pPr>
        <w:pStyle w:val="Normal"/>
        <w:spacing w:before="160" w:after="80"/>
        <w:rPr/>
      </w:pPr>
      <w:r>
        <w:rPr>
          <w:b/>
          <w:bCs/>
          <w:sz w:val="23"/>
          <w:szCs w:val="23"/>
        </w:rPr>
        <w:t>How PESTEL Creates Opportunity Gaps for Solar Energy in Pakistan</w:t>
      </w:r>
    </w:p>
    <w:p>
      <w:pPr>
        <w:pStyle w:val="Normal"/>
        <w:spacing w:before="60" w:after="60"/>
        <w:jc w:val="both"/>
        <w:rPr/>
      </w:pPr>
      <w:r>
        <w:rPr>
          <w:sz w:val="22"/>
          <w:szCs w:val="22"/>
        </w:rPr>
        <w:t>The course material defines an opportunity gap as the difference between what is currently available in the market and what is possible given macro-environmental trends. For the solar energy business, the PESTEL analysis reveals a major opportunity gap: Pakistan currently has one of the worst electricity supply crises in Asia (Social + Economic factors), government policy is actively supporting solar adoption (Political factor), technology is rapidly making solar cheaper and better (Technological factor), and environmental pressure is accelerating the shift to clean energy (Environmental factor). Together, these forces create a huge gap between the current state (majority of homes still dependent on a failing grid) and what is possible (widespread solar adoption). The solar installation business sits directly in this opportunity gap – and that is exactly what makes it an attractive and viable business opportunity at this point in time.</w:t>
      </w:r>
    </w:p>
    <w:p>
      <w:pPr>
        <w:pStyle w:val="Normal"/>
        <w:spacing w:before="0" w:after="240"/>
        <w:rPr/>
      </w:pPr>
      <w:r>
        <w:rPr/>
      </w:r>
    </w:p>
    <w:p>
      <w:pPr>
        <w:pStyle w:val="Normal"/>
        <w:jc w:val="center"/>
        <w:rPr/>
      </w:pPr>
      <w:r>
        <w:rPr>
          <w:i/>
          <w:iCs/>
          <w:color w:val="888888"/>
          <w:sz w:val="20"/>
          <w:szCs w:val="20"/>
        </w:rPr>
        <w:t>-- End of Analysis --</w:t>
      </w:r>
    </w:p>
    <w:sectPr>
      <w:footerReference w:type="even" r:id="rId2"/>
      <w:footerReference w:type="default" r:id="rId3"/>
      <w:footerReference w:type="first" r:id="rId4"/>
      <w:type w:val="nextPage"/>
      <w:pgSz w:w="12240" w:h="15840"/>
      <w:pgMar w:left="1200" w:right="1200" w:gutter="0" w:header="0" w:top="1200" w:footer="708"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MGT 250 – Solar Energy Business | Feasibility, SWOT &amp; PESTEL Analysis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MGT 250 – Solar Energy Business | Feasibility, SWOT &amp; PESTEL Analysis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9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183</TotalTime>
  <Application>LibreOffice/24.2.7.2$Linux_X86_64 LibreOffice_project/420$Build-2</Application>
  <AppVersion>15.0000</AppVersion>
  <Pages>5</Pages>
  <Words>2185</Words>
  <Characters>13241</Characters>
  <CharactersWithSpaces>15338</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2026-04-12T10:07:36Z</dcterms:created>
  <dc:creator>Un-named</dc:creator>
  <dc:description/>
  <dc:language>en-US</dc:language>
  <cp:lastModifiedBy/>
  <dcterms:modified xsi:type="dcterms:W3CDTF">2026-04-12T18:26:44Z</dcterms:modified>
  <cp:revision>2</cp:revision>
  <dc:subject/>
  <dc:title/>
</cp:coreProperties>
</file>