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80"/>
        <w:jc w:val="center"/>
        <w:rPr/>
      </w:pPr>
      <w:r>
        <w:rPr>
          <w:rFonts w:eastAsia="Times New Roman" w:cs="Times New Roman"/>
          <w:b/>
          <w:bCs/>
          <w:i w:val="false"/>
          <w:iCs w:val="false"/>
          <w:sz w:val="26"/>
          <w:szCs w:val="26"/>
        </w:rPr>
        <w:t>UNIVERSIDAD TECNOLÓGICA NACIONAL</w:t>
      </w:r>
    </w:p>
    <w:p>
      <w:pPr>
        <w:pStyle w:val="normal1"/>
        <w:spacing w:lineRule="auto" w:line="240" w:before="0" w:after="80"/>
        <w:jc w:val="center"/>
        <w:rPr/>
      </w:pPr>
      <w:r>
        <w:rPr>
          <w:rFonts w:eastAsia="Times New Roman" w:cs="Times New Roman"/>
          <w:b/>
          <w:bCs/>
          <w:i w:val="false"/>
          <w:iCs w:val="false"/>
          <w:sz w:val="26"/>
          <w:szCs w:val="26"/>
        </w:rPr>
        <w:t>FACULTAD REGIONAL MENDOZA</w:t>
      </w:r>
    </w:p>
    <w:p>
      <w:pPr>
        <w:pStyle w:val="normal1"/>
        <w:spacing w:lineRule="auto" w:line="240" w:before="0" w:after="80"/>
        <w:jc w:val="center"/>
        <w:rPr/>
      </w:pPr>
      <w:r>
        <w:rPr>
          <w:rFonts w:eastAsia="Times New Roman" w:cs="Times New Roman"/>
          <w:b w:val="false"/>
          <w:bCs w:val="false"/>
          <w:i w:val="false"/>
          <w:iCs w:val="false"/>
          <w:sz w:val="26"/>
          <w:szCs w:val="26"/>
        </w:rPr>
        <w:t>Carrera: Tecnicatura Universitaria en Programación</w:t>
      </w:r>
    </w:p>
    <w:p>
      <w:pPr>
        <w:pStyle w:val="normal1"/>
        <w:spacing w:lineRule="auto" w:line="240" w:before="0" w:after="480"/>
        <w:rPr/>
      </w:pPr>
      <w:r>
        <w:rPr/>
      </w:r>
    </w:p>
    <w:p>
      <w:pPr>
        <w:pStyle w:val="normal1"/>
        <w:spacing w:lineRule="auto" w:line="240" w:before="0" w:after="80"/>
        <w:jc w:val="center"/>
        <w:rPr/>
      </w:pPr>
      <w:r>
        <w:rPr>
          <w:rFonts w:eastAsia="Times New Roman" w:cs="Times New Roman"/>
          <w:b/>
          <w:bCs/>
          <w:i w:val="false"/>
          <w:iCs w:val="false"/>
          <w:sz w:val="32"/>
          <w:szCs w:val="32"/>
        </w:rPr>
        <w:t>TRANSFORMACIÓN DIGITAL MEDIANTE UN CATÁLOGO INTERACTIVO</w:t>
      </w:r>
    </w:p>
    <w:p>
      <w:pPr>
        <w:pStyle w:val="normal1"/>
        <w:spacing w:lineRule="auto" w:line="240" w:before="0" w:after="80"/>
        <w:jc w:val="center"/>
        <w:rPr/>
      </w:pPr>
      <w:r>
        <w:rPr>
          <w:rFonts w:eastAsia="Times New Roman" w:cs="Times New Roman"/>
          <w:b/>
          <w:bCs/>
          <w:i w:val="false"/>
          <w:iCs w:val="false"/>
          <w:sz w:val="32"/>
          <w:szCs w:val="32"/>
        </w:rPr>
        <w:t>Y AUTOMATIZACIÓN DE PROCESOS CON n8n:</w:t>
      </w:r>
    </w:p>
    <w:p>
      <w:pPr>
        <w:pStyle w:val="normal1"/>
        <w:spacing w:lineRule="auto" w:line="240" w:before="0" w:after="80"/>
        <w:jc w:val="center"/>
        <w:rPr/>
      </w:pPr>
      <w:r>
        <w:rPr>
          <w:rFonts w:eastAsia="Times New Roman" w:cs="Times New Roman"/>
          <w:b/>
          <w:bCs/>
          <w:i w:val="false"/>
          <w:iCs w:val="false"/>
          <w:sz w:val="32"/>
          <w:szCs w:val="32"/>
        </w:rPr>
        <w:t>El Caso de Golden Harvest S.A.</w:t>
      </w:r>
    </w:p>
    <w:p>
      <w:pPr>
        <w:pStyle w:val="normal1"/>
        <w:spacing w:lineRule="auto" w:line="240" w:before="0" w:after="120"/>
        <w:rPr/>
      </w:pPr>
      <w:r>
        <w:rPr/>
      </w:r>
    </w:p>
    <w:p>
      <w:pPr>
        <w:pStyle w:val="normal1"/>
        <w:spacing w:lineRule="auto" w:line="240" w:before="0" w:after="80"/>
        <w:jc w:val="center"/>
        <w:rPr/>
      </w:pPr>
      <w:r>
        <w:rPr>
          <w:rFonts w:eastAsia="Times New Roman" w:cs="Times New Roman"/>
          <w:b w:val="false"/>
          <w:bCs w:val="false"/>
          <w:i w:val="false"/>
          <w:iCs w:val="false"/>
          <w:sz w:val="22"/>
          <w:szCs w:val="22"/>
        </w:rPr>
        <w:t>Tesis de Grado presentada como requisito parcial para optar al título de</w:t>
      </w:r>
    </w:p>
    <w:p>
      <w:pPr>
        <w:pStyle w:val="normal1"/>
        <w:spacing w:lineRule="auto" w:line="240" w:before="0" w:after="240"/>
        <w:jc w:val="center"/>
        <w:rPr/>
      </w:pPr>
      <w:r>
        <w:rPr>
          <w:rFonts w:eastAsia="Times New Roman" w:cs="Times New Roman"/>
          <w:b w:val="false"/>
          <w:bCs w:val="false"/>
          <w:i w:val="false"/>
          <w:iCs w:val="false"/>
          <w:sz w:val="22"/>
          <w:szCs w:val="22"/>
        </w:rPr>
        <w:t>Técnico Universitario en Programación</w:t>
      </w:r>
    </w:p>
    <w:p>
      <w:pPr>
        <w:pStyle w:val="normal1"/>
        <w:spacing w:lineRule="auto" w:line="240" w:before="0" w:after="120"/>
        <w:rPr/>
      </w:pPr>
      <w:r>
        <w:rPr/>
      </w:r>
    </w:p>
    <w:p>
      <w:pPr>
        <w:pStyle w:val="normal1"/>
        <w:spacing w:lineRule="auto" w:line="240" w:before="0" w:after="0"/>
        <w:jc w:val="center"/>
        <w:rPr/>
      </w:pPr>
      <w:r>
        <w:rPr>
          <w:rFonts w:eastAsia="Times New Roman" w:cs="Times New Roman"/>
          <w:b w:val="false"/>
          <w:bCs w:val="false"/>
          <w:i w:val="false"/>
          <w:iCs w:val="false"/>
          <w:sz w:val="24"/>
          <w:szCs w:val="24"/>
        </w:rPr>
        <w:t>Autores:</w:t>
      </w:r>
    </w:p>
    <w:p>
      <w:pPr>
        <w:pStyle w:val="normal1"/>
        <w:spacing w:lineRule="auto" w:line="240" w:before="0" w:after="40"/>
        <w:jc w:val="center"/>
        <w:rPr/>
      </w:pPr>
      <w:r>
        <w:rPr>
          <w:rFonts w:eastAsia="Times New Roman" w:cs="Times New Roman"/>
          <w:b w:val="false"/>
          <w:bCs w:val="false"/>
          <w:i w:val="false"/>
          <w:iCs w:val="false"/>
          <w:sz w:val="24"/>
          <w:szCs w:val="24"/>
        </w:rPr>
        <w:t>Cunto Boberg, Tiago</w:t>
      </w:r>
    </w:p>
    <w:p>
      <w:pPr>
        <w:pStyle w:val="normal1"/>
        <w:spacing w:lineRule="auto" w:line="240" w:before="0" w:after="40"/>
        <w:jc w:val="center"/>
        <w:rPr/>
      </w:pPr>
      <w:r>
        <w:rPr>
          <w:rFonts w:eastAsia="Times New Roman" w:cs="Times New Roman"/>
          <w:b w:val="false"/>
          <w:bCs w:val="false"/>
          <w:i w:val="false"/>
          <w:iCs w:val="false"/>
          <w:sz w:val="24"/>
          <w:szCs w:val="24"/>
        </w:rPr>
        <w:t>Rojo, Emiliano</w:t>
      </w:r>
    </w:p>
    <w:p>
      <w:pPr>
        <w:pStyle w:val="normal1"/>
        <w:spacing w:lineRule="auto" w:line="240" w:before="0" w:after="120"/>
        <w:rPr/>
      </w:pPr>
      <w:r>
        <w:rPr/>
      </w:r>
    </w:p>
    <w:p>
      <w:pPr>
        <w:pStyle w:val="normal1"/>
        <w:spacing w:lineRule="auto" w:line="240" w:before="0" w:after="0"/>
        <w:jc w:val="center"/>
        <w:rPr/>
      </w:pPr>
      <w:r>
        <w:rPr>
          <w:rFonts w:eastAsia="Times New Roman" w:cs="Times New Roman"/>
          <w:b w:val="false"/>
          <w:bCs w:val="false"/>
          <w:i w:val="false"/>
          <w:iCs w:val="false"/>
          <w:sz w:val="24"/>
          <w:szCs w:val="24"/>
        </w:rPr>
        <w:t>Director de Tesis:</w:t>
      </w:r>
    </w:p>
    <w:p>
      <w:pPr>
        <w:pStyle w:val="normal1"/>
        <w:spacing w:lineRule="auto" w:line="240" w:before="0" w:after="40"/>
        <w:jc w:val="center"/>
        <w:rPr/>
      </w:pPr>
      <w:r>
        <w:rPr>
          <w:rFonts w:eastAsia="Times New Roman" w:cs="Times New Roman"/>
          <w:b w:val="false"/>
          <w:bCs w:val="false"/>
          <w:i w:val="false"/>
          <w:iCs w:val="false"/>
          <w:sz w:val="24"/>
          <w:szCs w:val="24"/>
        </w:rPr>
        <w:t>Prof. Alberto Cortez</w:t>
      </w:r>
    </w:p>
    <w:p>
      <w:pPr>
        <w:pStyle w:val="normal1"/>
        <w:spacing w:lineRule="auto" w:line="240" w:before="0" w:after="480"/>
        <w:rPr/>
      </w:pPr>
      <w:r>
        <w:rPr/>
      </w:r>
    </w:p>
    <w:p>
      <w:pPr>
        <w:pStyle w:val="normal1"/>
        <w:spacing w:lineRule="auto" w:line="240" w:before="0" w:after="40"/>
        <w:jc w:val="center"/>
        <w:rPr/>
      </w:pPr>
      <w:r>
        <w:rPr>
          <w:rFonts w:eastAsia="Times New Roman" w:cs="Times New Roman"/>
          <w:b w:val="false"/>
          <w:bCs w:val="false"/>
          <w:i w:val="false"/>
          <w:iCs w:val="false"/>
          <w:sz w:val="24"/>
          <w:szCs w:val="24"/>
        </w:rPr>
        <w:t>Mendoza — Argentina</w:t>
      </w:r>
    </w:p>
    <w:p>
      <w:pPr>
        <w:pStyle w:val="normal1"/>
        <w:spacing w:lineRule="auto" w:line="240" w:before="0" w:after="40"/>
        <w:jc w:val="center"/>
        <w:rPr/>
      </w:pPr>
      <w:r>
        <w:rPr>
          <w:rFonts w:eastAsia="Times New Roman" w:cs="Times New Roman"/>
          <w:b w:val="false"/>
          <w:bCs w:val="false"/>
          <w:i w:val="false"/>
          <w:iCs w:val="false"/>
          <w:sz w:val="24"/>
          <w:szCs w:val="24"/>
        </w:rPr>
        <w:t>Mayo de 2026</w:t>
      </w:r>
    </w:p>
    <w:p>
      <w:pPr>
        <w:pStyle w:val="normal1"/>
        <w:spacing w:lineRule="auto" w:line="240" w:before="0" w:after="0"/>
        <w:rPr/>
      </w:pPr>
      <w:r>
        <w:rPr/>
      </w:r>
      <w:r>
        <w:br w:type="page"/>
      </w:r>
    </w:p>
    <w:p>
      <w:pPr>
        <w:pStyle w:val="normal1"/>
        <w:spacing w:lineRule="auto" w:line="240" w:before="0" w:after="360"/>
        <w:jc w:val="center"/>
        <w:rPr/>
      </w:pPr>
      <w:r>
        <w:rPr>
          <w:rFonts w:eastAsia="Times New Roman" w:cs="Times New Roman"/>
          <w:b/>
          <w:bCs/>
          <w:i w:val="false"/>
          <w:iCs w:val="false"/>
          <w:sz w:val="28"/>
          <w:szCs w:val="28"/>
        </w:rPr>
        <w:t>ÍNDICE GENERAL</w:t>
      </w:r>
    </w:p>
    <w:sdt>
      <w:sdtPr>
        <w:docPartObj>
          <w:docPartGallery w:val="Table of Contents"/>
          <w:docPartUnique w:val="true"/>
        </w:docPartObj>
      </w:sdtPr>
      <w:sdtContent>
        <w:p>
          <w:pPr>
            <w:pStyle w:val="TOC1"/>
            <w:tabs>
              <w:tab w:val="clear" w:pos="8788"/>
              <w:tab w:val="right" w:pos="8787" w:leader="dot"/>
            </w:tabs>
            <w:rPr/>
          </w:pPr>
          <w:r>
            <w:fldChar w:fldCharType="begin"/>
          </w:r>
          <w:r>
            <w:rPr>
              <w:rStyle w:val="IndexLink"/>
              <w:i w:val="false"/>
              <w:iCs w:val="false"/>
              <w:webHidden/>
            </w:rPr>
            <w:instrText xml:space="preserve"> TOC \z \o "1-2" \u \h</w:instrText>
          </w:r>
          <w:r>
            <w:rPr>
              <w:rStyle w:val="IndexLink"/>
              <w:i w:val="false"/>
              <w:iCs w:val="false"/>
              <w:webHidden/>
            </w:rPr>
            <w:fldChar w:fldCharType="separate"/>
          </w:r>
          <w:hyperlink w:anchor="__RefHeading___Toc1994_910930204" w:tooltip="RESUMEN">
            <w:r>
              <w:rPr>
                <w:rStyle w:val="IndexLink"/>
                <w:i w:val="false"/>
                <w:iCs w:val="false"/>
                <w:webHidden/>
              </w:rPr>
              <w:t>RESUMEN</w:t>
            </w:r>
            <w:r>
              <w:rPr>
                <w:rStyle w:val="IndexLink"/>
              </w:rPr>
              <w:tab/>
              <w:t>5</w:t>
            </w:r>
          </w:hyperlink>
        </w:p>
        <w:p>
          <w:pPr>
            <w:pStyle w:val="TOC1"/>
            <w:tabs>
              <w:tab w:val="clear" w:pos="8788"/>
              <w:tab w:val="right" w:pos="8787" w:leader="dot"/>
            </w:tabs>
            <w:rPr/>
          </w:pPr>
          <w:hyperlink w:anchor="__RefHeading___Toc1996_910930204" w:tooltip="ABSTRACT">
            <w:r>
              <w:rPr>
                <w:rStyle w:val="IndexLink"/>
                <w:i w:val="false"/>
                <w:iCs w:val="false"/>
                <w:webHidden/>
              </w:rPr>
              <w:t>ABSTRACT</w:t>
            </w:r>
            <w:r>
              <w:rPr>
                <w:rStyle w:val="IndexLink"/>
              </w:rPr>
              <w:tab/>
              <w:t>7</w:t>
            </w:r>
          </w:hyperlink>
        </w:p>
        <w:p>
          <w:pPr>
            <w:pStyle w:val="TOC1"/>
            <w:tabs>
              <w:tab w:val="clear" w:pos="8788"/>
              <w:tab w:val="right" w:pos="8787" w:leader="dot"/>
            </w:tabs>
            <w:rPr/>
          </w:pPr>
          <w:hyperlink w:anchor="__RefHeading___Toc1998_910930204" w:tooltip="CAPÍTULO 1: INTRODUCCIÓN">
            <w:r>
              <w:rPr>
                <w:rStyle w:val="IndexLink"/>
                <w:i w:val="false"/>
                <w:iCs w:val="false"/>
                <w:webHidden/>
              </w:rPr>
              <w:t>CAPÍTULO 1: INTRODUCCIÓN</w:t>
            </w:r>
            <w:r>
              <w:rPr>
                <w:rStyle w:val="IndexLink"/>
              </w:rPr>
              <w:tab/>
              <w:t>8</w:t>
            </w:r>
          </w:hyperlink>
        </w:p>
        <w:p>
          <w:pPr>
            <w:pStyle w:val="TOC2"/>
            <w:tabs>
              <w:tab w:val="clear" w:pos="8505"/>
              <w:tab w:val="right" w:pos="8787" w:leader="dot"/>
            </w:tabs>
            <w:rPr/>
          </w:pPr>
          <w:hyperlink w:anchor="__RefHeading___Toc2000_910930204" w:tooltip="1.1 Contexto del problema">
            <w:r>
              <w:rPr>
                <w:rStyle w:val="IndexLink"/>
                <w:i w:val="false"/>
                <w:iCs w:val="false"/>
                <w:webHidden/>
              </w:rPr>
              <w:t>1.1 Contexto del problema</w:t>
            </w:r>
            <w:r>
              <w:rPr>
                <w:rStyle w:val="IndexLink"/>
              </w:rPr>
              <w:tab/>
              <w:t>8</w:t>
            </w:r>
          </w:hyperlink>
        </w:p>
        <w:p>
          <w:pPr>
            <w:pStyle w:val="TOC2"/>
            <w:tabs>
              <w:tab w:val="clear" w:pos="8505"/>
              <w:tab w:val="right" w:pos="8787" w:leader="dot"/>
            </w:tabs>
            <w:rPr/>
          </w:pPr>
          <w:hyperlink w:anchor="__RefHeading___Toc2002_910930204" w:tooltip="1.2 Planteamiento del problema">
            <w:r>
              <w:rPr>
                <w:rStyle w:val="IndexLink"/>
                <w:i w:val="false"/>
                <w:iCs w:val="false"/>
                <w:webHidden/>
              </w:rPr>
              <w:t>1.2 Planteamiento del problema</w:t>
            </w:r>
            <w:r>
              <w:rPr>
                <w:rStyle w:val="IndexLink"/>
              </w:rPr>
              <w:tab/>
              <w:t>9</w:t>
            </w:r>
          </w:hyperlink>
        </w:p>
        <w:p>
          <w:pPr>
            <w:pStyle w:val="TOC2"/>
            <w:tabs>
              <w:tab w:val="clear" w:pos="8505"/>
              <w:tab w:val="right" w:pos="8787" w:leader="dot"/>
            </w:tabs>
            <w:rPr/>
          </w:pPr>
          <w:hyperlink w:anchor="__RefHeading___Toc2004_910930204" w:tooltip="1.3 Justificación">
            <w:r>
              <w:rPr>
                <w:rStyle w:val="IndexLink"/>
                <w:i w:val="false"/>
                <w:iCs w:val="false"/>
                <w:webHidden/>
              </w:rPr>
              <w:t>1.3 Justificación</w:t>
            </w:r>
            <w:r>
              <w:rPr>
                <w:rStyle w:val="IndexLink"/>
              </w:rPr>
              <w:tab/>
              <w:t>10</w:t>
            </w:r>
          </w:hyperlink>
        </w:p>
        <w:p>
          <w:pPr>
            <w:pStyle w:val="TOC2"/>
            <w:tabs>
              <w:tab w:val="clear" w:pos="8505"/>
              <w:tab w:val="right" w:pos="8787" w:leader="dot"/>
            </w:tabs>
            <w:rPr/>
          </w:pPr>
          <w:hyperlink w:anchor="__RefHeading___Toc2006_910930204" w:tooltip="1.4 Hipótesis de investigación">
            <w:r>
              <w:rPr>
                <w:rStyle w:val="IndexLink"/>
                <w:i w:val="false"/>
                <w:iCs w:val="false"/>
                <w:webHidden/>
              </w:rPr>
              <w:t>1.4 Hipótesis de investigación</w:t>
            </w:r>
            <w:r>
              <w:rPr>
                <w:rStyle w:val="IndexLink"/>
              </w:rPr>
              <w:tab/>
              <w:t>11</w:t>
            </w:r>
          </w:hyperlink>
        </w:p>
        <w:p>
          <w:pPr>
            <w:pStyle w:val="TOC2"/>
            <w:tabs>
              <w:tab w:val="clear" w:pos="8505"/>
              <w:tab w:val="right" w:pos="8787" w:leader="dot"/>
            </w:tabs>
            <w:rPr/>
          </w:pPr>
          <w:hyperlink w:anchor="__RefHeading___Toc2008_910930204" w:tooltip="1.5 Objetivo general">
            <w:r>
              <w:rPr>
                <w:rStyle w:val="IndexLink"/>
                <w:i w:val="false"/>
                <w:iCs w:val="false"/>
                <w:webHidden/>
              </w:rPr>
              <w:t>1.5 Objetivo general</w:t>
            </w:r>
            <w:r>
              <w:rPr>
                <w:rStyle w:val="IndexLink"/>
              </w:rPr>
              <w:tab/>
              <w:t>12</w:t>
            </w:r>
          </w:hyperlink>
        </w:p>
        <w:p>
          <w:pPr>
            <w:pStyle w:val="TOC2"/>
            <w:tabs>
              <w:tab w:val="clear" w:pos="8505"/>
              <w:tab w:val="right" w:pos="8787" w:leader="dot"/>
            </w:tabs>
            <w:rPr/>
          </w:pPr>
          <w:hyperlink w:anchor="__RefHeading___Toc2010_910930204" w:tooltip="1.6 Objetivos específicos">
            <w:r>
              <w:rPr>
                <w:rStyle w:val="IndexLink"/>
                <w:i w:val="false"/>
                <w:iCs w:val="false"/>
                <w:webHidden/>
              </w:rPr>
              <w:t>1.6 Objetivos específicos</w:t>
            </w:r>
            <w:r>
              <w:rPr>
                <w:rStyle w:val="IndexLink"/>
              </w:rPr>
              <w:tab/>
              <w:t>13</w:t>
            </w:r>
          </w:hyperlink>
        </w:p>
        <w:p>
          <w:pPr>
            <w:pStyle w:val="TOC2"/>
            <w:tabs>
              <w:tab w:val="clear" w:pos="8505"/>
              <w:tab w:val="right" w:pos="8787" w:leader="dot"/>
            </w:tabs>
            <w:rPr/>
          </w:pPr>
          <w:hyperlink w:anchor="__RefHeading___Toc2012_910930204" w:tooltip="1.7 Alcance y limitaciones">
            <w:r>
              <w:rPr>
                <w:rStyle w:val="IndexLink"/>
                <w:i w:val="false"/>
                <w:iCs w:val="false"/>
                <w:webHidden/>
              </w:rPr>
              <w:t>1.7 Alcance y limitaciones</w:t>
            </w:r>
            <w:r>
              <w:rPr>
                <w:rStyle w:val="IndexLink"/>
              </w:rPr>
              <w:tab/>
              <w:t>13</w:t>
            </w:r>
          </w:hyperlink>
        </w:p>
        <w:p>
          <w:pPr>
            <w:pStyle w:val="TOC1"/>
            <w:tabs>
              <w:tab w:val="clear" w:pos="8788"/>
              <w:tab w:val="right" w:pos="8787" w:leader="dot"/>
            </w:tabs>
            <w:rPr/>
          </w:pPr>
          <w:hyperlink w:anchor="__RefHeading___Toc2014_910930204" w:tooltip="CAPÍTULO 2: MARCO TEÓRICO">
            <w:r>
              <w:rPr>
                <w:rStyle w:val="IndexLink"/>
                <w:i w:val="false"/>
                <w:iCs w:val="false"/>
                <w:webHidden/>
              </w:rPr>
              <w:t>CAPÍTULO 2: MARCO TEÓRICO</w:t>
            </w:r>
            <w:r>
              <w:rPr>
                <w:rStyle w:val="IndexLink"/>
              </w:rPr>
              <w:tab/>
              <w:t>16</w:t>
            </w:r>
          </w:hyperlink>
        </w:p>
        <w:p>
          <w:pPr>
            <w:pStyle w:val="TOC2"/>
            <w:tabs>
              <w:tab w:val="clear" w:pos="8505"/>
              <w:tab w:val="right" w:pos="8787" w:leader="dot"/>
            </w:tabs>
            <w:rPr/>
          </w:pPr>
          <w:hyperlink w:anchor="__RefHeading___Toc2016_910930204" w:tooltip="2.1 Modelos de E-commerce y Catálogos Digitales">
            <w:r>
              <w:rPr>
                <w:rStyle w:val="IndexLink"/>
                <w:i w:val="false"/>
                <w:iCs w:val="false"/>
                <w:webHidden/>
              </w:rPr>
              <w:t>2.1 Modelos de E-commerce y Catálogos Digitales</w:t>
            </w:r>
            <w:r>
              <w:rPr>
                <w:rStyle w:val="IndexLink"/>
              </w:rPr>
              <w:tab/>
              <w:t>16</w:t>
            </w:r>
          </w:hyperlink>
        </w:p>
        <w:p>
          <w:pPr>
            <w:pStyle w:val="TOC2"/>
            <w:tabs>
              <w:tab w:val="clear" w:pos="8505"/>
              <w:tab w:val="right" w:pos="8787" w:leader="dot"/>
            </w:tabs>
            <w:rPr/>
          </w:pPr>
          <w:hyperlink w:anchor="__RefHeading___Toc2018_910930204" w:tooltip="2.2 Transformación Digital en PyMEs: estado del arte">
            <w:r>
              <w:rPr>
                <w:rStyle w:val="IndexLink"/>
                <w:i w:val="false"/>
                <w:iCs w:val="false"/>
                <w:webHidden/>
              </w:rPr>
              <w:t>2.2 Transformación Digital en PyMEs: estado del arte</w:t>
            </w:r>
            <w:r>
              <w:rPr>
                <w:rStyle w:val="IndexLink"/>
              </w:rPr>
              <w:tab/>
              <w:t>17</w:t>
            </w:r>
          </w:hyperlink>
        </w:p>
        <w:p>
          <w:pPr>
            <w:pStyle w:val="TOC2"/>
            <w:tabs>
              <w:tab w:val="clear" w:pos="8505"/>
              <w:tab w:val="right" w:pos="8787" w:leader="dot"/>
            </w:tabs>
            <w:rPr/>
          </w:pPr>
          <w:hyperlink w:anchor="__RefHeading___Toc2020_910930204" w:tooltip="2.3 Automatización Modular de Procesos de Negocio (BPA)">
            <w:r>
              <w:rPr>
                <w:rStyle w:val="IndexLink"/>
                <w:i w:val="false"/>
                <w:iCs w:val="false"/>
                <w:webHidden/>
              </w:rPr>
              <w:t>2.3 Automatización Modular de Procesos de Negocio (BPA)</w:t>
            </w:r>
            <w:r>
              <w:rPr>
                <w:rStyle w:val="IndexLink"/>
              </w:rPr>
              <w:tab/>
              <w:t>19</w:t>
            </w:r>
          </w:hyperlink>
        </w:p>
        <w:p>
          <w:pPr>
            <w:pStyle w:val="TOC2"/>
            <w:tabs>
              <w:tab w:val="clear" w:pos="8505"/>
              <w:tab w:val="right" w:pos="8787" w:leader="dot"/>
            </w:tabs>
            <w:rPr/>
          </w:pPr>
          <w:hyperlink w:anchor="__RefHeading___Toc2022_910930204" w:tooltip="2.4 Marketing de Automatización y Omnicanalidad">
            <w:r>
              <w:rPr>
                <w:rStyle w:val="IndexLink"/>
                <w:i w:val="false"/>
                <w:iCs w:val="false"/>
                <w:webHidden/>
              </w:rPr>
              <w:t>2.4 Marketing de Automatización y Omnicanalidad</w:t>
            </w:r>
            <w:r>
              <w:rPr>
                <w:rStyle w:val="IndexLink"/>
              </w:rPr>
              <w:tab/>
              <w:t>22</w:t>
            </w:r>
          </w:hyperlink>
        </w:p>
        <w:p>
          <w:pPr>
            <w:pStyle w:val="TOC2"/>
            <w:tabs>
              <w:tab w:val="clear" w:pos="8505"/>
              <w:tab w:val="right" w:pos="8787" w:leader="dot"/>
            </w:tabs>
            <w:rPr/>
          </w:pPr>
          <w:hyperlink w:anchor="__RefHeading___Toc2024_910930204" w:tooltip="2.5 SEO, Performance y Experiencia de Usuario (UX)">
            <w:r>
              <w:rPr>
                <w:rStyle w:val="IndexLink"/>
                <w:i w:val="false"/>
                <w:iCs w:val="false"/>
                <w:webHidden/>
              </w:rPr>
              <w:t>2.5 SEO, Performance y Experiencia de Usuario (UX)</w:t>
            </w:r>
            <w:r>
              <w:rPr>
                <w:rStyle w:val="IndexLink"/>
              </w:rPr>
              <w:tab/>
              <w:t>23</w:t>
            </w:r>
          </w:hyperlink>
        </w:p>
        <w:p>
          <w:pPr>
            <w:pStyle w:val="TOC1"/>
            <w:tabs>
              <w:tab w:val="clear" w:pos="8788"/>
              <w:tab w:val="right" w:pos="8787" w:leader="dot"/>
            </w:tabs>
            <w:rPr/>
          </w:pPr>
          <w:hyperlink w:anchor="__RefHeading___Toc2026_910930204" w:tooltip="CAPÍTULO 3: MARCO METODOLÓGICO">
            <w:r>
              <w:rPr>
                <w:rStyle w:val="IndexLink"/>
                <w:i w:val="false"/>
                <w:iCs w:val="false"/>
                <w:webHidden/>
              </w:rPr>
              <w:t>CAPÍTULO 3: MARCO METODOLÓGICO</w:t>
            </w:r>
            <w:r>
              <w:rPr>
                <w:rStyle w:val="IndexLink"/>
              </w:rPr>
              <w:tab/>
              <w:t>25</w:t>
            </w:r>
          </w:hyperlink>
        </w:p>
        <w:p>
          <w:pPr>
            <w:pStyle w:val="TOC2"/>
            <w:tabs>
              <w:tab w:val="clear" w:pos="8505"/>
              <w:tab w:val="right" w:pos="8787" w:leader="dot"/>
            </w:tabs>
            <w:rPr/>
          </w:pPr>
          <w:hyperlink w:anchor="__RefHeading___Toc2028_910930204" w:tooltip="3.1 Tipo de investigación">
            <w:r>
              <w:rPr>
                <w:rStyle w:val="IndexLink"/>
                <w:i w:val="false"/>
                <w:iCs w:val="false"/>
                <w:webHidden/>
              </w:rPr>
              <w:t>3.1 Tipo de investigación</w:t>
            </w:r>
            <w:r>
              <w:rPr>
                <w:rStyle w:val="IndexLink"/>
              </w:rPr>
              <w:tab/>
              <w:t>25</w:t>
            </w:r>
          </w:hyperlink>
        </w:p>
        <w:p>
          <w:pPr>
            <w:pStyle w:val="TOC2"/>
            <w:tabs>
              <w:tab w:val="clear" w:pos="8505"/>
              <w:tab w:val="right" w:pos="8787" w:leader="dot"/>
            </w:tabs>
            <w:rPr/>
          </w:pPr>
          <w:hyperlink w:anchor="__RefHeading___Toc2030_910930204" w:tooltip="3.2 Variables de la investigación">
            <w:r>
              <w:rPr>
                <w:rStyle w:val="IndexLink"/>
                <w:i w:val="false"/>
                <w:iCs w:val="false"/>
                <w:webHidden/>
              </w:rPr>
              <w:t>3.2 Variables de la investigación</w:t>
            </w:r>
            <w:r>
              <w:rPr>
                <w:rStyle w:val="IndexLink"/>
              </w:rPr>
              <w:tab/>
              <w:t>26</w:t>
            </w:r>
          </w:hyperlink>
        </w:p>
        <w:p>
          <w:pPr>
            <w:pStyle w:val="TOC2"/>
            <w:tabs>
              <w:tab w:val="clear" w:pos="8505"/>
              <w:tab w:val="right" w:pos="8787" w:leader="dot"/>
            </w:tabs>
            <w:rPr/>
          </w:pPr>
          <w:hyperlink w:anchor="__RefHeading___Toc2032_910930204" w:tooltip="3.3 Enfoque metodológico">
            <w:r>
              <w:rPr>
                <w:rStyle w:val="IndexLink"/>
                <w:i w:val="false"/>
                <w:iCs w:val="false"/>
                <w:webHidden/>
              </w:rPr>
              <w:t>3.3 Enfoque metodológico</w:t>
            </w:r>
            <w:r>
              <w:rPr>
                <w:rStyle w:val="IndexLink"/>
              </w:rPr>
              <w:tab/>
              <w:t>27</w:t>
            </w:r>
          </w:hyperlink>
        </w:p>
        <w:p>
          <w:pPr>
            <w:pStyle w:val="TOC2"/>
            <w:tabs>
              <w:tab w:val="clear" w:pos="8505"/>
              <w:tab w:val="right" w:pos="8787" w:leader="dot"/>
            </w:tabs>
            <w:rPr/>
          </w:pPr>
          <w:hyperlink w:anchor="__RefHeading___Toc2034_910930204" w:tooltip="3.4 Técnicas de recolección de datos">
            <w:r>
              <w:rPr>
                <w:rStyle w:val="IndexLink"/>
                <w:i w:val="false"/>
                <w:iCs w:val="false"/>
                <w:webHidden/>
              </w:rPr>
              <w:t>3.4 Técnicas de recolección de datos</w:t>
            </w:r>
            <w:r>
              <w:rPr>
                <w:rStyle w:val="IndexLink"/>
              </w:rPr>
              <w:tab/>
              <w:t>28</w:t>
            </w:r>
          </w:hyperlink>
        </w:p>
        <w:p>
          <w:pPr>
            <w:pStyle w:val="TOC2"/>
            <w:tabs>
              <w:tab w:val="clear" w:pos="8505"/>
              <w:tab w:val="right" w:pos="8787" w:leader="dot"/>
            </w:tabs>
            <w:rPr/>
          </w:pPr>
          <w:hyperlink w:anchor="__RefHeading___Toc2036_910930204" w:tooltip="3.5 Herramientas e instrumentos tecnológicos">
            <w:r>
              <w:rPr>
                <w:rStyle w:val="IndexLink"/>
                <w:i w:val="false"/>
                <w:iCs w:val="false"/>
                <w:webHidden/>
              </w:rPr>
              <w:t>3.5 Herramientas e instrumentos tecnológicos</w:t>
            </w:r>
            <w:r>
              <w:rPr>
                <w:rStyle w:val="IndexLink"/>
              </w:rPr>
              <w:tab/>
              <w:t>29</w:t>
            </w:r>
          </w:hyperlink>
        </w:p>
        <w:p>
          <w:pPr>
            <w:pStyle w:val="TOC1"/>
            <w:tabs>
              <w:tab w:val="clear" w:pos="8788"/>
              <w:tab w:val="right" w:pos="8787" w:leader="dot"/>
            </w:tabs>
            <w:rPr/>
          </w:pPr>
          <w:hyperlink w:anchor="__RefHeading___Toc2040_910930204" w:tooltip="CAPÍTULO 4: DESARROLLO DE LA INVESTIGACIÓN">
            <w:r>
              <w:rPr>
                <w:rStyle w:val="IndexLink"/>
                <w:i w:val="false"/>
                <w:iCs w:val="false"/>
                <w:webHidden/>
              </w:rPr>
              <w:t>CAPÍTULO 4: DESARROLLO DE LA INVESTIGACIÓN</w:t>
            </w:r>
            <w:r>
              <w:rPr>
                <w:rStyle w:val="IndexLink"/>
              </w:rPr>
              <w:tab/>
              <w:t>31</w:t>
            </w:r>
          </w:hyperlink>
        </w:p>
        <w:p>
          <w:pPr>
            <w:pStyle w:val="TOC2"/>
            <w:tabs>
              <w:tab w:val="clear" w:pos="8505"/>
              <w:tab w:val="right" w:pos="8787" w:leader="dot"/>
            </w:tabs>
            <w:rPr/>
          </w:pPr>
          <w:hyperlink w:anchor="__RefHeading___Toc2042_910930204" w:tooltip="4.1 Arquitectura del Sistema (Diseño Técnico)">
            <w:r>
              <w:rPr>
                <w:rStyle w:val="IndexLink"/>
                <w:i w:val="false"/>
                <w:iCs w:val="false"/>
                <w:webHidden/>
              </w:rPr>
              <w:t>4.1 Arquitectura del Sistema (Diseño Técnico)</w:t>
            </w:r>
            <w:r>
              <w:rPr>
                <w:rStyle w:val="IndexLink"/>
              </w:rPr>
              <w:tab/>
              <w:t>31</w:t>
            </w:r>
          </w:hyperlink>
        </w:p>
        <w:p>
          <w:pPr>
            <w:pStyle w:val="TOC2"/>
            <w:tabs>
              <w:tab w:val="clear" w:pos="8505"/>
              <w:tab w:val="right" w:pos="8787" w:leader="dot"/>
            </w:tabs>
            <w:rPr/>
          </w:pPr>
          <w:hyperlink w:anchor="__RefHeading___Toc2044_910930204" w:tooltip="4.2 Desarrollo del Catálogo Interactivo (React)">
            <w:r>
              <w:rPr>
                <w:rStyle w:val="IndexLink"/>
                <w:i w:val="false"/>
                <w:iCs w:val="false"/>
                <w:webHidden/>
              </w:rPr>
              <w:t>4.2 Desarrollo del Catálogo Interactivo (React)</w:t>
            </w:r>
            <w:r>
              <w:rPr>
                <w:rStyle w:val="IndexLink"/>
              </w:rPr>
              <w:tab/>
              <w:t>34</w:t>
            </w:r>
          </w:hyperlink>
        </w:p>
        <w:p>
          <w:pPr>
            <w:pStyle w:val="TOC2"/>
            <w:tabs>
              <w:tab w:val="clear" w:pos="8505"/>
              <w:tab w:val="right" w:pos="8787" w:leader="dot"/>
            </w:tabs>
            <w:rPr/>
          </w:pPr>
          <w:hyperlink w:anchor="__RefHeading___Toc2046_910930204" w:tooltip="4.3 Implementación de la Capa de Automatización (n8n)">
            <w:r>
              <w:rPr>
                <w:rStyle w:val="IndexLink"/>
                <w:i w:val="false"/>
                <w:iCs w:val="false"/>
                <w:webHidden/>
              </w:rPr>
              <w:t>4.3 Implementación de la Capa de Automatización (n8n)</w:t>
            </w:r>
            <w:r>
              <w:rPr>
                <w:rStyle w:val="IndexLink"/>
              </w:rPr>
              <w:tab/>
              <w:t>38</w:t>
            </w:r>
          </w:hyperlink>
        </w:p>
        <w:p>
          <w:pPr>
            <w:pStyle w:val="TOC2"/>
            <w:tabs>
              <w:tab w:val="clear" w:pos="8505"/>
              <w:tab w:val="right" w:pos="8787" w:leader="dot"/>
            </w:tabs>
            <w:rPr/>
          </w:pPr>
          <w:hyperlink w:anchor="__RefHeading___Toc2048_910930204" w:tooltip="4.4 Seguridad del ecosistema">
            <w:r>
              <w:rPr>
                <w:rStyle w:val="IndexLink"/>
                <w:i w:val="false"/>
                <w:iCs w:val="false"/>
                <w:webHidden/>
              </w:rPr>
              <w:t>4.4 Seguridad del ecosistema</w:t>
            </w:r>
            <w:r>
              <w:rPr>
                <w:rStyle w:val="IndexLink"/>
              </w:rPr>
              <w:tab/>
              <w:t>46</w:t>
            </w:r>
          </w:hyperlink>
        </w:p>
        <w:p>
          <w:pPr>
            <w:pStyle w:val="TOC2"/>
            <w:tabs>
              <w:tab w:val="clear" w:pos="8505"/>
              <w:tab w:val="right" w:pos="8787" w:leader="dot"/>
            </w:tabs>
            <w:rPr/>
          </w:pPr>
          <w:hyperlink w:anchor="__RefHeading___Toc2050_910930204" w:tooltip="4.5 Estrategia de pruebas y validación">
            <w:r>
              <w:rPr>
                <w:rStyle w:val="IndexLink"/>
                <w:i w:val="false"/>
                <w:iCs w:val="false"/>
                <w:webHidden/>
              </w:rPr>
              <w:t>4.5 Estrategia de pruebas y validación</w:t>
            </w:r>
            <w:r>
              <w:rPr>
                <w:rStyle w:val="IndexLink"/>
              </w:rPr>
              <w:tab/>
              <w:t>49</w:t>
            </w:r>
          </w:hyperlink>
        </w:p>
        <w:p>
          <w:pPr>
            <w:pStyle w:val="TOC2"/>
            <w:tabs>
              <w:tab w:val="clear" w:pos="8505"/>
              <w:tab w:val="right" w:pos="8787" w:leader="dot"/>
            </w:tabs>
            <w:rPr/>
          </w:pPr>
          <w:hyperlink w:anchor="__RefHeading___Toc2052_910930204" w:tooltip="4.6 Desarrollo asistido por IA y validación manual">
            <w:r>
              <w:rPr>
                <w:rStyle w:val="IndexLink"/>
                <w:i w:val="false"/>
                <w:iCs w:val="false"/>
                <w:webHidden/>
              </w:rPr>
              <w:t>4.6 Desarrollo asistido por IA y validación manual</w:t>
            </w:r>
            <w:r>
              <w:rPr>
                <w:rStyle w:val="IndexLink"/>
              </w:rPr>
              <w:tab/>
              <w:t>51</w:t>
            </w:r>
          </w:hyperlink>
        </w:p>
        <w:p>
          <w:pPr>
            <w:pStyle w:val="TOC1"/>
            <w:tabs>
              <w:tab w:val="clear" w:pos="8788"/>
              <w:tab w:val="right" w:pos="8787" w:leader="dot"/>
            </w:tabs>
            <w:rPr/>
          </w:pPr>
          <w:hyperlink w:anchor="__RefHeading___Toc2054_910930204" w:tooltip="CAPÍTULO 5: RESULTADOS Y ANÁLISIS">
            <w:r>
              <w:rPr>
                <w:rStyle w:val="IndexLink"/>
                <w:i w:val="false"/>
                <w:iCs w:val="false"/>
                <w:webHidden/>
              </w:rPr>
              <w:t>CAPÍTULO 5: RESULTADOS Y ANÁLISIS</w:t>
            </w:r>
            <w:r>
              <w:rPr>
                <w:rStyle w:val="IndexLink"/>
              </w:rPr>
              <w:tab/>
              <w:t>51</w:t>
            </w:r>
          </w:hyperlink>
        </w:p>
        <w:p>
          <w:pPr>
            <w:pStyle w:val="TOC2"/>
            <w:tabs>
              <w:tab w:val="clear" w:pos="8505"/>
              <w:tab w:val="right" w:pos="8787" w:leader="dot"/>
            </w:tabs>
            <w:rPr/>
          </w:pPr>
          <w:hyperlink w:anchor="__RefHeading___Toc2056_910930204" w:tooltip="5.1 Resultados del módulo de Catálogo Interactivo (VD1 y VD4)">
            <w:r>
              <w:rPr>
                <w:rStyle w:val="IndexLink"/>
                <w:i w:val="false"/>
                <w:iCs w:val="false"/>
                <w:webHidden/>
              </w:rPr>
              <w:t>5.1 Resultados del módulo de Catálogo Interactivo (VD1 y VD4)</w:t>
            </w:r>
            <w:r>
              <w:rPr>
                <w:rStyle w:val="IndexLink"/>
              </w:rPr>
              <w:tab/>
              <w:t>51</w:t>
            </w:r>
          </w:hyperlink>
        </w:p>
        <w:p>
          <w:pPr>
            <w:pStyle w:val="TOC2"/>
            <w:tabs>
              <w:tab w:val="clear" w:pos="8505"/>
              <w:tab w:val="right" w:pos="8787" w:leader="dot"/>
            </w:tabs>
            <w:rPr/>
          </w:pPr>
          <w:hyperlink w:anchor="__RefHeading___Toc2058_910930204" w:tooltip="5.2 Resultados de la automatización con n8n (VD2 y VD3)">
            <w:r>
              <w:rPr>
                <w:rStyle w:val="IndexLink"/>
                <w:i w:val="false"/>
                <w:iCs w:val="false"/>
                <w:webHidden/>
              </w:rPr>
              <w:t>5.2 Resultados de la automatización con n8n (VD2 y VD3)</w:t>
            </w:r>
            <w:r>
              <w:rPr>
                <w:rStyle w:val="IndexLink"/>
              </w:rPr>
              <w:tab/>
              <w:t>54</w:t>
            </w:r>
          </w:hyperlink>
        </w:p>
        <w:p>
          <w:pPr>
            <w:pStyle w:val="TOC2"/>
            <w:tabs>
              <w:tab w:val="clear" w:pos="8505"/>
              <w:tab w:val="right" w:pos="8787" w:leader="dot"/>
            </w:tabs>
            <w:rPr/>
          </w:pPr>
          <w:hyperlink w:anchor="__RefHeading___Toc2060_910930204" w:tooltip="5.3 Análisis integrado y validación del ecosistema">
            <w:r>
              <w:rPr>
                <w:rStyle w:val="IndexLink"/>
                <w:i w:val="false"/>
                <w:iCs w:val="false"/>
                <w:webHidden/>
              </w:rPr>
              <w:t>5.3 Análisis integrado y validación del ecosistema</w:t>
            </w:r>
            <w:r>
              <w:rPr>
                <w:rStyle w:val="IndexLink"/>
              </w:rPr>
              <w:tab/>
              <w:t>56</w:t>
            </w:r>
          </w:hyperlink>
        </w:p>
        <w:p>
          <w:pPr>
            <w:pStyle w:val="TOC2"/>
            <w:tabs>
              <w:tab w:val="clear" w:pos="8505"/>
              <w:tab w:val="right" w:pos="8787" w:leader="dot"/>
            </w:tabs>
            <w:rPr/>
          </w:pPr>
          <w:hyperlink w:anchor="__RefHeading___Toc2062_910930204" w:tooltip="5.4 Limitaciones de los resultados obtenidos">
            <w:r>
              <w:rPr>
                <w:rStyle w:val="IndexLink"/>
                <w:i w:val="false"/>
                <w:iCs w:val="false"/>
                <w:webHidden/>
              </w:rPr>
              <w:t>5.4 Limitaciones de los resultados obtenidos</w:t>
            </w:r>
            <w:r>
              <w:rPr>
                <w:rStyle w:val="IndexLink"/>
              </w:rPr>
              <w:tab/>
              <w:t>57</w:t>
            </w:r>
          </w:hyperlink>
        </w:p>
        <w:p>
          <w:pPr>
            <w:pStyle w:val="TOC1"/>
            <w:tabs>
              <w:tab w:val="clear" w:pos="8788"/>
              <w:tab w:val="right" w:pos="8787" w:leader="dot"/>
            </w:tabs>
            <w:rPr/>
          </w:pPr>
          <w:hyperlink w:anchor="__RefHeading___Toc2064_910930204" w:tooltip="CAPÍTULO 6: CONCLUSIONES Y RECOMENDACIONES">
            <w:r>
              <w:rPr>
                <w:rStyle w:val="IndexLink"/>
                <w:i w:val="false"/>
                <w:iCs w:val="false"/>
                <w:webHidden/>
              </w:rPr>
              <w:t>CAPÍTULO 6: CONCLUSIONES Y RECOMENDACIONES</w:t>
            </w:r>
            <w:r>
              <w:rPr>
                <w:rStyle w:val="IndexLink"/>
              </w:rPr>
              <w:tab/>
              <w:t>59</w:t>
            </w:r>
          </w:hyperlink>
        </w:p>
        <w:p>
          <w:pPr>
            <w:pStyle w:val="TOC2"/>
            <w:tabs>
              <w:tab w:val="clear" w:pos="8505"/>
              <w:tab w:val="right" w:pos="8787" w:leader="dot"/>
            </w:tabs>
            <w:rPr/>
          </w:pPr>
          <w:hyperlink w:anchor="__RefHeading___Toc2066_910930204" w:tooltip="6.1 Conclusiones">
            <w:r>
              <w:rPr>
                <w:rStyle w:val="IndexLink"/>
                <w:i w:val="false"/>
                <w:iCs w:val="false"/>
                <w:webHidden/>
              </w:rPr>
              <w:t>6.1 Conclusiones</w:t>
            </w:r>
            <w:r>
              <w:rPr>
                <w:rStyle w:val="IndexLink"/>
              </w:rPr>
              <w:tab/>
              <w:t>59</w:t>
            </w:r>
          </w:hyperlink>
        </w:p>
        <w:p>
          <w:pPr>
            <w:pStyle w:val="TOC2"/>
            <w:tabs>
              <w:tab w:val="clear" w:pos="8505"/>
              <w:tab w:val="right" w:pos="8787" w:leader="dot"/>
            </w:tabs>
            <w:rPr/>
          </w:pPr>
          <w:hyperlink w:anchor="__RefHeading___Toc2068_910930204" w:tooltip="6.2 Recomendaciones técnicas y estratégicas">
            <w:r>
              <w:rPr>
                <w:rStyle w:val="IndexLink"/>
                <w:i w:val="false"/>
                <w:iCs w:val="false"/>
                <w:webHidden/>
              </w:rPr>
              <w:t>6.2 Recomendaciones técnicas y estratégicas</w:t>
            </w:r>
            <w:r>
              <w:rPr>
                <w:rStyle w:val="IndexLink"/>
              </w:rPr>
              <w:tab/>
              <w:t>61</w:t>
            </w:r>
          </w:hyperlink>
        </w:p>
        <w:p>
          <w:pPr>
            <w:pStyle w:val="TOC2"/>
            <w:tabs>
              <w:tab w:val="clear" w:pos="8505"/>
              <w:tab w:val="right" w:pos="8787" w:leader="dot"/>
            </w:tabs>
            <w:rPr/>
          </w:pPr>
          <w:hyperlink w:anchor="__RefHeading___Toc2070_910930204" w:tooltip="6.3 Limitaciones del estudio">
            <w:r>
              <w:rPr>
                <w:rStyle w:val="IndexLink"/>
                <w:i w:val="false"/>
                <w:iCs w:val="false"/>
                <w:webHidden/>
              </w:rPr>
              <w:t>6.3 Limitaciones del estudio</w:t>
            </w:r>
            <w:r>
              <w:rPr>
                <w:rStyle w:val="IndexLink"/>
              </w:rPr>
              <w:tab/>
              <w:t>62</w:t>
            </w:r>
          </w:hyperlink>
        </w:p>
        <w:p>
          <w:pPr>
            <w:pStyle w:val="TOC2"/>
            <w:tabs>
              <w:tab w:val="clear" w:pos="8505"/>
              <w:tab w:val="right" w:pos="8787" w:leader="dot"/>
            </w:tabs>
            <w:rPr/>
          </w:pPr>
          <w:hyperlink w:anchor="__RefHeading___Toc2072_910930204" w:tooltip="6.4 Líneas futuras de investigación">
            <w:r>
              <w:rPr>
                <w:rStyle w:val="IndexLink"/>
                <w:i w:val="false"/>
                <w:iCs w:val="false"/>
                <w:webHidden/>
              </w:rPr>
              <w:t>6.4 Líneas futuras de investigación</w:t>
            </w:r>
            <w:r>
              <w:rPr>
                <w:rStyle w:val="IndexLink"/>
              </w:rPr>
              <w:tab/>
              <w:t>63</w:t>
            </w:r>
          </w:hyperlink>
        </w:p>
        <w:p>
          <w:pPr>
            <w:pStyle w:val="TOC1"/>
            <w:tabs>
              <w:tab w:val="clear" w:pos="8788"/>
              <w:tab w:val="right" w:pos="8787" w:leader="dot"/>
            </w:tabs>
            <w:rPr/>
          </w:pPr>
          <w:hyperlink w:anchor="__RefHeading___Toc2074_910930204" w:tooltip="REFERENCIAS BIBLIOGRÁFICAS">
            <w:r>
              <w:rPr>
                <w:rStyle w:val="IndexLink"/>
                <w:i w:val="false"/>
                <w:iCs w:val="false"/>
                <w:webHidden/>
              </w:rPr>
              <w:t>REFERENCIAS BIBLIOGRÁFICAS</w:t>
            </w:r>
            <w:r>
              <w:rPr>
                <w:rStyle w:val="IndexLink"/>
              </w:rPr>
              <w:tab/>
              <w:t>65</w:t>
            </w:r>
          </w:hyperlink>
        </w:p>
        <w:p>
          <w:pPr>
            <w:pStyle w:val="TOC1"/>
            <w:tabs>
              <w:tab w:val="clear" w:pos="8788"/>
              <w:tab w:val="right" w:pos="8787" w:leader="dot"/>
            </w:tabs>
            <w:rPr/>
          </w:pPr>
          <w:hyperlink w:anchor="__RefHeading___Toc2076_910930204" w:tooltip="GLOSARIO DE TÉRMINOS">
            <w:r>
              <w:rPr>
                <w:rStyle w:val="IndexLink"/>
                <w:i w:val="false"/>
                <w:iCs w:val="false"/>
                <w:webHidden/>
              </w:rPr>
              <w:t>GLOSARIO DE TÉRMINOS</w:t>
            </w:r>
            <w:r>
              <w:rPr>
                <w:rStyle w:val="IndexLink"/>
              </w:rPr>
              <w:tab/>
              <w:t>68</w:t>
            </w:r>
          </w:hyperlink>
        </w:p>
        <w:p>
          <w:pPr>
            <w:pStyle w:val="TOC1"/>
            <w:tabs>
              <w:tab w:val="clear" w:pos="8788"/>
              <w:tab w:val="right" w:pos="8787" w:leader="dot"/>
            </w:tabs>
            <w:rPr/>
          </w:pPr>
          <w:hyperlink w:anchor="__RefHeading___Toc2078_910930204" w:tooltip="ANEXOS">
            <w:r>
              <w:rPr>
                <w:rStyle w:val="IndexLink"/>
                <w:i w:val="false"/>
                <w:iCs w:val="false"/>
                <w:webHidden/>
              </w:rPr>
              <w:t>ANEXOS</w:t>
            </w:r>
            <w:r>
              <w:rPr>
                <w:rStyle w:val="IndexLink"/>
              </w:rPr>
              <w:tab/>
              <w:t>72</w:t>
            </w:r>
          </w:hyperlink>
          <w:r>
            <w:rPr>
              <w:rStyle w:val="IndexLink"/>
            </w:rPr>
            <w:fldChar w:fldCharType="end"/>
          </w:r>
        </w:p>
      </w:sdtContent>
    </w:sdt>
    <w:p>
      <w:pPr>
        <w:pStyle w:val="normal1"/>
        <w:spacing w:lineRule="auto" w:line="240" w:before="0" w:after="0"/>
        <w:rPr/>
      </w:pPr>
      <w:r>
        <w:rPr/>
      </w:r>
      <w:r>
        <w:br w:type="page"/>
      </w:r>
    </w:p>
    <w:p>
      <w:pPr>
        <w:pStyle w:val="normal1"/>
        <w:spacing w:before="0" w:after="0"/>
        <w:jc w:val="center"/>
        <w:rPr/>
      </w:pPr>
      <w:r>
        <w:rPr>
          <w:b/>
          <w:sz w:val="28"/>
        </w:rPr>
        <w:t>ÍNDICE DE TABLAS</w:t>
      </w:r>
    </w:p>
    <w:p>
      <w:pPr>
        <w:pStyle w:val="normal1"/>
        <w:rPr/>
      </w:pPr>
      <w:r>
        <w:rPr/>
        <w:t>Tabla 1: Comparación de n8n con plataformas alternativas de automatización — 2.3 Automatización Modular de Procesos de Negocio (BPA)</w:t>
      </w:r>
    </w:p>
    <w:p>
      <w:pPr>
        <w:pStyle w:val="normal1"/>
        <w:rPr/>
      </w:pPr>
      <w:r>
        <w:rPr/>
        <w:t>Tabla 4: Resumen del mapeo de procesos manuales preexistentes — 3.4 Técnicas de recolección de datos</w:t>
      </w:r>
    </w:p>
    <w:p>
      <w:pPr>
        <w:pStyle w:val="normal1"/>
        <w:rPr/>
      </w:pPr>
      <w:r>
        <w:rPr/>
        <w:t>Tabla 6: Comparación de métricas Google Lighthouse — Sitio preexistente vs. Catálogo nuevo — 5.1 Resultados del módulo de Catálogo Interactivo (VD1 y VD4)</w:t>
      </w:r>
    </w:p>
    <w:p>
      <w:pPr>
        <w:pStyle w:val="normal1"/>
        <w:rPr/>
      </w:pPr>
      <w:r>
        <w:rPr/>
        <w:t>5.2 Resultados de la automatización con n8n (VD2 y VD3)</w:t>
      </w:r>
    </w:p>
    <w:p>
      <w:pPr>
        <w:pStyle w:val="normal1"/>
        <w:rPr/>
      </w:pPr>
      <w:r>
        <w:rPr/>
      </w:r>
    </w:p>
    <w:p>
      <w:pPr>
        <w:pStyle w:val="normal1"/>
        <w:jc w:val="center"/>
        <w:rPr>
          <w:i/>
        </w:rPr>
      </w:pPr>
      <w:r>
        <w:rPr>
          <w:b/>
          <w:sz w:val="28"/>
        </w:rPr>
        <w:t>ÍNDICE DE FIGURAS</w:t>
      </w:r>
    </w:p>
    <w:p>
      <w:pPr>
        <w:pStyle w:val="normal1"/>
        <w:rPr/>
      </w:pPr>
      <w:r>
        <w:rPr/>
        <w:t>Figura 2. Diagrama de arquitectura de tres capas (Anexo F). — 4.1 Arquitectura del Sistema (Diseño Técnico)</w:t>
      </w:r>
    </w:p>
    <w:p>
      <w:pPr>
        <w:pStyle w:val="normal1"/>
        <w:rPr/>
      </w:pPr>
      <w:r>
        <w:rPr/>
        <w:t>Figura 3. Diagrama de secuencia del flujo de leads y del carrito abandonado. — 4.2 Desarrollo del Catálogo Interactivo (React)</w:t>
      </w:r>
    </w:p>
    <w:p>
      <w:pPr>
        <w:pStyle w:val="normal1"/>
        <w:rPr/>
      </w:pPr>
      <w:r>
        <w:rPr/>
        <w:t>Figura 4a. Catálogo real (/catalogo) — escritorio. — 4.2 Desarrollo del Catálogo Interactivo (React)</w:t>
      </w:r>
    </w:p>
    <w:p>
      <w:pPr>
        <w:pStyle w:val="normal1"/>
        <w:rPr/>
      </w:pPr>
      <w:r>
        <w:rPr/>
        <w:t>Figura 4b. Catálogo real (/catalogo) — móvil. — 4.2 Desarrollo del Catálogo Interactivo (React)</w:t>
      </w:r>
    </w:p>
    <w:p>
      <w:pPr>
        <w:pStyle w:val="normal1"/>
        <w:rPr/>
      </w:pPr>
      <w:r>
        <w:rPr/>
        <w:t>Figura 5a. Captura real de un workflow importado en la instancia de n8n (Social Media Content Engine). — 4.3 Implementación de la Capa de Automatización (n8n)</w:t>
      </w:r>
    </w:p>
    <w:p>
      <w:pPr>
        <w:pStyle w:val="normal1"/>
        <w:rPr/>
      </w:pPr>
      <w:r>
        <w:rPr/>
        <w:t>Figura 5b. Captura real de un workflow importado en la instancia de n8n (07. Logistics &amp; Shipping Automation). — 4.3 Implementación de la Capa de Automatización (n8n)</w:t>
      </w:r>
    </w:p>
    <w:p>
      <w:pPr>
        <w:pStyle w:val="normal1"/>
        <w:rPr/>
      </w:pPr>
      <w:r>
        <w:rPr/>
        <w:t>Figura 5c. Captura real de un workflow importado en la instancia de n8n (06b. Carrito Abandonado). — 4.3 Implementación de la Capa de Automatización (n8n)</w:t>
      </w:r>
    </w:p>
    <w:p>
      <w:pPr>
        <w:pStyle w:val="normal1"/>
        <w:rPr/>
      </w:pPr>
      <w:r>
        <w:rPr/>
        <w:t>Figura 5d. Captura real de un workflow importado en la instancia de n8n (03. Google Maps Review Management). El resto de los workflows reales se documenta en el Anexo G. — 4.3 Implementación de la Capa de Automatización (n8n)</w:t>
      </w:r>
    </w:p>
    <w:p>
      <w:pPr>
        <w:pStyle w:val="normal1"/>
        <w:rPr/>
      </w:pPr>
      <w:r>
        <w:rPr/>
        <w:t>Figura 6. Comparación Lighthouse — sitio preexistente vs. catálogo nuevo (mediana de 5 corridas), por dispositivo. — 5.1 Resultados del módulo de Catálogo Interactivo (VD1 y VD4)</w:t>
      </w:r>
    </w:p>
    <w:p>
      <w:pPr>
        <w:pStyle w:val="normal1"/>
        <w:rPr/>
      </w:pPr>
      <w:r>
        <w:rPr/>
      </w:r>
    </w:p>
    <w:p>
      <w:pPr>
        <w:pStyle w:val="Heading1"/>
        <w:spacing w:lineRule="auto" w:line="240" w:before="0" w:after="360"/>
        <w:jc w:val="center"/>
        <w:rPr/>
      </w:pPr>
      <w:bookmarkStart w:id="0" w:name="__RefHeading___Toc1994_910930204"/>
      <w:bookmarkEnd w:id="0"/>
      <w:r>
        <w:rPr>
          <w:rFonts w:eastAsia="Times New Roman" w:cs="Times New Roman" w:ascii="Times New Roman" w:hAnsi="Times New Roman"/>
          <w:b/>
          <w:bCs/>
          <w:i w:val="false"/>
          <w:iCs w:val="false"/>
          <w:sz w:val="28"/>
          <w:szCs w:val="28"/>
        </w:rPr>
        <w:t>RESUMEN</w:t>
      </w:r>
    </w:p>
    <w:p>
      <w:pPr>
        <w:pStyle w:val="normal1"/>
        <w:spacing w:lineRule="auto" w:line="420" w:before="0" w:after="0"/>
        <w:ind w:firstLine="709"/>
        <w:jc w:val="both"/>
        <w:rPr/>
      </w:pPr>
      <w:r>
        <w:rPr>
          <w:rFonts w:eastAsia="Times New Roman" w:cs="Times New Roman"/>
          <w:b w:val="false"/>
          <w:bCs w:val="false"/>
          <w:i w:val="false"/>
          <w:iCs w:val="false"/>
          <w:sz w:val="24"/>
          <w:szCs w:val="24"/>
        </w:rPr>
        <w:t>El presente trabajo aborda la brecha digital que afecta a empresas con modelos de negocio arraigados en prácticas analógicas, tomando como caso de estudio a Golden Harvest S.A., una empresa consolidada cuya presencia en internet se limita a un sitio web estático sin interactividad funcional. La investigación parte de la hipótesis de que un catálogo interactivo basado en React, integrado con una capa de automatización modular sobre n8n, mejora la eficiencia operativa de la organización, aumenta la captura de leads calificados y sostiene una presencia omnicanal con intervención humana mínima, en las magnitudes detalladas en el Capítulo 5.</w:t>
      </w:r>
    </w:p>
    <w:p>
      <w:pPr>
        <w:pStyle w:val="normal1"/>
        <w:spacing w:lineRule="auto" w:line="420" w:before="0" w:after="0"/>
        <w:ind w:firstLine="709"/>
        <w:jc w:val="both"/>
        <w:rPr/>
      </w:pPr>
      <w:r>
        <w:rPr>
          <w:rFonts w:eastAsia="Times New Roman" w:cs="Times New Roman"/>
          <w:b w:val="false"/>
          <w:bCs w:val="false"/>
          <w:i w:val="false"/>
          <w:iCs w:val="false"/>
          <w:sz w:val="24"/>
          <w:szCs w:val="24"/>
        </w:rPr>
        <w:t>La metodología adopta el paradigma de investigación aplicada y desarrollo tecnológico, con enfoque ágil estructurado en sprints quincenales. El diagnóstico combinó auditoría técnica con Google Lighthouse y mapeo razonado de procesos manuales típicos de una PyME del sector, sin acceso real a la operación de la empresa. Los artefactos producidos —catálogo interactivo, infraestructura n8n contenedorizada y ocho workflows de automatización— fueron validados en un entorno de staging mediante pruebas de unidad, integración y resiliencia.</w:t>
      </w:r>
    </w:p>
    <w:p>
      <w:pPr>
        <w:pStyle w:val="normal1"/>
        <w:spacing w:lineRule="auto" w:line="420" w:before="0" w:after="0"/>
        <w:ind w:firstLine="709"/>
        <w:jc w:val="both"/>
        <w:rPr/>
      </w:pPr>
      <w:r>
        <w:rPr>
          <w:rFonts w:eastAsia="Times New Roman" w:cs="Times New Roman"/>
          <w:b w:val="false"/>
          <w:bCs w:val="false"/>
          <w:i w:val="false"/>
          <w:iCs w:val="false"/>
          <w:sz w:val="24"/>
          <w:szCs w:val="24"/>
        </w:rPr>
        <w:t>Los resultados de la validación técnica en staging respaldan la hipótesis con matices declarados explícitamente. El catálogo nuevo mejora sustancialmente su rendimiento en Google Lighthouse respecto del sitio preexistente, con una excepción real: la Accesibilidad retrocede y el LCP, aunque mejora, no alcanza el umbral "Bueno" de Google (detalle en el Capítulo 5). La generación de documentación logística se automatiza en segundos, muy por debajo del proceso manual previo. El procesamiento de cotizaciones opera de extremo a extremo sin intervención humana, aunque sin medición de latencia instrumentada frente al proceso manual.</w:t>
      </w:r>
    </w:p>
    <w:p>
      <w:pPr>
        <w:pStyle w:val="normal1"/>
        <w:spacing w:lineRule="auto" w:line="420" w:before="0" w:after="0"/>
        <w:ind w:firstLine="709"/>
        <w:jc w:val="both"/>
        <w:rPr/>
      </w:pPr>
      <w:r>
        <w:rPr>
          <w:rFonts w:eastAsia="Times New Roman" w:cs="Times New Roman"/>
          <w:b w:val="false"/>
          <w:bCs w:val="false"/>
          <w:i w:val="false"/>
          <w:iCs w:val="false"/>
          <w:sz w:val="24"/>
          <w:szCs w:val="24"/>
        </w:rPr>
        <w:t>Se concluye que la arquitectura propuesta constituye una respuesta técnica viable, escalable y replicable para la transformación digital de organizaciones con recursos limitados, y que el modelo "Lead-to-Sale" asistido resulta estratégicamente adecuado para sectores donde el proceso de compra requiere intermediación consultiva.</w:t>
      </w:r>
    </w:p>
    <w:p>
      <w:pPr>
        <w:pStyle w:val="normal1"/>
        <w:spacing w:lineRule="auto" w:line="420" w:before="0" w:after="0"/>
        <w:ind w:firstLine="709"/>
        <w:jc w:val="both"/>
        <w:rPr/>
      </w:pPr>
      <w:r>
        <w:rPr>
          <w:rFonts w:eastAsia="Times New Roman" w:cs="Times New Roman"/>
          <w:b w:val="false"/>
          <w:bCs w:val="false"/>
          <w:i w:val="false"/>
          <w:iCs w:val="false"/>
          <w:sz w:val="24"/>
          <w:szCs w:val="24"/>
        </w:rPr>
        <w:t>Palabras clave: Transformación Digital, Automatización de Procesos de Negocio (BPA), n8n, React, Catálogo Interactivo, Lead-to-Sale, Omnicanalidad, Single Page Application (SPA).</w:t>
      </w:r>
    </w:p>
    <w:p>
      <w:pPr>
        <w:pStyle w:val="normal1"/>
        <w:spacing w:lineRule="auto" w:line="240" w:before="0" w:after="0"/>
        <w:rPr/>
      </w:pPr>
      <w:r>
        <w:rPr/>
      </w:r>
      <w:r>
        <w:br w:type="page"/>
      </w:r>
    </w:p>
    <w:p>
      <w:pPr>
        <w:pStyle w:val="Heading1"/>
        <w:spacing w:lineRule="auto" w:line="240" w:before="0" w:after="360"/>
        <w:jc w:val="center"/>
        <w:rPr/>
      </w:pPr>
      <w:bookmarkStart w:id="1" w:name="__RefHeading___Toc1996_910930204"/>
      <w:bookmarkEnd w:id="1"/>
      <w:r>
        <w:rPr>
          <w:rFonts w:eastAsia="Times New Roman" w:cs="Times New Roman" w:ascii="Times New Roman" w:hAnsi="Times New Roman"/>
          <w:b/>
          <w:bCs/>
          <w:i w:val="false"/>
          <w:iCs w:val="false"/>
          <w:sz w:val="28"/>
          <w:szCs w:val="28"/>
        </w:rPr>
        <w:t>ABSTRACT</w:t>
      </w:r>
    </w:p>
    <w:p>
      <w:pPr>
        <w:pStyle w:val="normal1"/>
        <w:spacing w:lineRule="auto" w:line="420" w:before="0" w:after="0"/>
        <w:ind w:firstLine="709"/>
        <w:jc w:val="both"/>
        <w:rPr/>
      </w:pPr>
      <w:r>
        <w:rPr>
          <w:rFonts w:eastAsia="Times New Roman" w:cs="Times New Roman"/>
          <w:b w:val="false"/>
          <w:bCs w:val="false"/>
          <w:i w:val="false"/>
          <w:iCs w:val="false"/>
          <w:sz w:val="24"/>
          <w:szCs w:val="24"/>
        </w:rPr>
        <w:t>The present work addresses the digital gap affecting companies with business models rooted in analog practices, taking Golden Harvest S.A. as a case study — an established company whose internet presence is limited to a static, non-interactive website. The research is built on the hypothesis that a React-based interactive catalog, integrated with a modular automation layer built on n8n, improves the organization's operational efficiency, enhances qualified lead capture, and sustains an omnichannel presence with minimal human intervention, at the magnitudes detailed in Chapter 5.</w:t>
      </w:r>
    </w:p>
    <w:p>
      <w:pPr>
        <w:pStyle w:val="normal1"/>
        <w:spacing w:lineRule="auto" w:line="420" w:before="0" w:after="0"/>
        <w:ind w:firstLine="709"/>
        <w:jc w:val="both"/>
        <w:rPr/>
      </w:pPr>
      <w:r>
        <w:rPr>
          <w:rFonts w:eastAsia="Times New Roman" w:cs="Times New Roman"/>
          <w:b w:val="false"/>
          <w:bCs w:val="false"/>
          <w:i w:val="false"/>
          <w:iCs w:val="false"/>
          <w:sz w:val="24"/>
          <w:szCs w:val="24"/>
        </w:rPr>
        <w:t>The methodology adopts an applied research and technological development paradigm with an agile approach structured in bi-weekly sprints. The diagnostic phase combined a technical audit via Google Lighthouse, structured interviews with the organization's operational managers, and mapping of automatable manual processes. The produced artifacts — interactive catalog, containerized n8n infrastructure, and eight automation workflows — were validated in a staging environment through unit, integration, and resilience testing.</w:t>
      </w:r>
    </w:p>
    <w:p>
      <w:pPr>
        <w:pStyle w:val="normal1"/>
        <w:spacing w:lineRule="auto" w:line="420" w:before="0" w:after="0"/>
        <w:ind w:firstLine="709"/>
        <w:jc w:val="both"/>
        <w:rPr/>
      </w:pPr>
      <w:r>
        <w:rPr>
          <w:rFonts w:eastAsia="Times New Roman" w:cs="Times New Roman"/>
          <w:b w:val="false"/>
          <w:bCs w:val="false"/>
          <w:i w:val="false"/>
          <w:iCs w:val="false"/>
          <w:sz w:val="24"/>
          <w:szCs w:val="24"/>
        </w:rPr>
        <w:t>Technical validation results in staging support the hypothesis with explicitly declared caveats. The new catalog substantially improves its Google Lighthouse performance over the pre-existing site, with one real exception: the Accessibility score regresses and LCP, while improved, does not reach Google's “Good” threshold (detail in Chapter 5). Logistics documentation generation is automated in seconds, well below prior manual process times. Quote-request processing operates end-to-end without human intervention, though without instrumented latency measurement against the manual process.</w:t>
      </w:r>
    </w:p>
    <w:p>
      <w:pPr>
        <w:pStyle w:val="normal1"/>
        <w:spacing w:lineRule="auto" w:line="420" w:before="0" w:after="0"/>
        <w:ind w:firstLine="709"/>
        <w:jc w:val="both"/>
        <w:rPr/>
      </w:pPr>
      <w:r>
        <w:rPr>
          <w:rFonts w:eastAsia="Times New Roman" w:cs="Times New Roman"/>
          <w:b w:val="false"/>
          <w:bCs w:val="false"/>
          <w:i w:val="false"/>
          <w:iCs w:val="false"/>
          <w:sz w:val="24"/>
          <w:szCs w:val="24"/>
        </w:rPr>
        <w:t>The study concludes that the proposed architecture constitutes a viable, scalable, and replicable technical response for the digital transformation of resource-constrained organizations, and that the assisted Lead-to-Sale model is strategically suitable for sectors where the purchasing process requires consultative intermediation.</w:t>
      </w:r>
    </w:p>
    <w:p>
      <w:pPr>
        <w:pStyle w:val="normal1"/>
        <w:spacing w:lineRule="auto" w:line="420" w:before="0" w:after="0"/>
        <w:ind w:firstLine="709"/>
        <w:jc w:val="both"/>
        <w:rPr/>
      </w:pPr>
      <w:r>
        <w:rPr>
          <w:rFonts w:eastAsia="Times New Roman" w:cs="Times New Roman"/>
          <w:b w:val="false"/>
          <w:bCs w:val="false"/>
          <w:i w:val="false"/>
          <w:iCs w:val="false"/>
          <w:sz w:val="24"/>
          <w:szCs w:val="24"/>
        </w:rPr>
        <w:t>Keywords: Digital Transformation, Business Process Automation (BPA), n8n, React, Interactive Catalog, Lead-to-Sale, Omnichannel, Single Page Application (SPA).</w:t>
      </w:r>
    </w:p>
    <w:p>
      <w:pPr>
        <w:pStyle w:val="normal1"/>
        <w:spacing w:lineRule="auto" w:line="240" w:before="0" w:after="0"/>
        <w:rPr/>
      </w:pPr>
      <w:r>
        <w:rPr/>
      </w:r>
      <w:r>
        <w:br w:type="page"/>
      </w:r>
    </w:p>
    <w:p>
      <w:pPr>
        <w:pStyle w:val="Heading1"/>
        <w:spacing w:lineRule="auto" w:line="240" w:before="0" w:after="360"/>
        <w:jc w:val="center"/>
        <w:rPr/>
      </w:pPr>
      <w:bookmarkStart w:id="2" w:name="__RefHeading___Toc1998_910930204"/>
      <w:bookmarkEnd w:id="2"/>
      <w:r>
        <w:rPr>
          <w:rFonts w:eastAsia="Times New Roman" w:cs="Times New Roman" w:ascii="Times New Roman" w:hAnsi="Times New Roman"/>
          <w:b/>
          <w:bCs/>
          <w:i w:val="false"/>
          <w:iCs w:val="false"/>
          <w:sz w:val="28"/>
          <w:szCs w:val="28"/>
        </w:rPr>
        <w:t>CAPÍTULO 1: INTRODUCCIÓN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Este capítulo presenta el contexto general del problema de investigación, delimita el objeto de estudio y fundamenta la relevancia del trabajo. Enuncia además la hipótesis y los objetivos que orientan la investigación, y define el alcance y las limitaciones del proyecto.</w:t>
      </w:r>
    </w:p>
    <w:p>
      <w:pPr>
        <w:pStyle w:val="Heading2"/>
        <w:spacing w:lineRule="auto" w:line="420" w:before="280" w:after="80"/>
        <w:jc w:val="start"/>
        <w:rPr/>
      </w:pPr>
      <w:bookmarkStart w:id="3" w:name="__RefHeading___Toc2000_910930204"/>
      <w:bookmarkEnd w:id="3"/>
      <w:r>
        <w:rPr>
          <w:rFonts w:eastAsia="Times New Roman" w:cs="Times New Roman" w:ascii="Times New Roman" w:hAnsi="Times New Roman"/>
          <w:b/>
          <w:bCs/>
          <w:i w:val="false"/>
          <w:iCs w:val="false"/>
          <w:sz w:val="26"/>
          <w:szCs w:val="26"/>
        </w:rPr>
        <w:t>1.1 Contexto del problema</w:t>
      </w:r>
    </w:p>
    <w:p>
      <w:pPr>
        <w:pStyle w:val="normal1"/>
        <w:spacing w:lineRule="auto" w:line="420" w:before="0" w:after="0"/>
        <w:ind w:firstLine="709"/>
        <w:jc w:val="both"/>
        <w:rPr/>
      </w:pPr>
      <w:r>
        <w:rPr>
          <w:rFonts w:eastAsia="Times New Roman" w:cs="Times New Roman"/>
          <w:b w:val="false"/>
          <w:bCs w:val="false"/>
          <w:i w:val="false"/>
          <w:iCs w:val="false"/>
          <w:sz w:val="24"/>
          <w:szCs w:val="24"/>
        </w:rPr>
        <w:t>En la actualidad, la transformación digital ha dejado de ser una tendencia emergente para convertirse en un imperativo estratégico para las organizaciones de todo tamaño y sector (Fitzgerald et al., 2014; Verhoef et al., 2021). La aceleración de los procesos de digitalización —impulsada tanto por la evolución tecnológica como por los cambios en los hábitos de consumo— ha reconfigurado radicalmente las expectativas de los clientes. Estas expectativas hoy involucran la presencia, la accesibilidad y la capacidad de respuesta de las empresas en el entorno digital. En este contexto, mantener una presencia web meramente informativa, sin capacidades interactivas ni mecanismos de conversión, equivale a operar con una infraestructura comercial severamente subóptima (Chaffey &amp; Ellis-Chadwick, 2022).</w:t>
      </w:r>
    </w:p>
    <w:p>
      <w:pPr>
        <w:pStyle w:val="normal1"/>
        <w:spacing w:lineRule="auto" w:line="420" w:before="0" w:after="0"/>
        <w:ind w:firstLine="709"/>
        <w:jc w:val="both"/>
        <w:rPr/>
      </w:pPr>
      <w:r>
        <w:rPr>
          <w:rFonts w:eastAsia="Times New Roman" w:cs="Times New Roman"/>
          <w:b w:val="false"/>
          <w:bCs w:val="false"/>
          <w:i w:val="false"/>
          <w:iCs w:val="false"/>
          <w:sz w:val="24"/>
          <w:szCs w:val="24"/>
        </w:rPr>
        <w:t>La investigación de Verhoef et al. (2021) sobre transformación digital en organizaciones identifica que las empresas que no integran capacidades digitales de captación y gestión de clientes experimentan una erosión progresiva de su posición competitiva. Esto ocurre independientemente de la fortaleza de su oferta de productos. Esta conclusión es especialmente relevante para el segmento de las pequeñas y medianas empresas (PyMEs). Representan más del 99 % del tejido empresarial argentino según el informe estadístico más reciente de la Secretaría de la Pequeña y Mediana Empresa, Emprendedores y Economía del Conocimiento (2024). Las PyMEs, además, con frecuencia carecen de los recursos para abordar una transformación digital integral sin recurrir a soluciones tecnológicas de bajo costo de implementación y mantenimiento.</w:t>
      </w:r>
    </w:p>
    <w:p>
      <w:pPr>
        <w:pStyle w:val="normal1"/>
        <w:spacing w:lineRule="auto" w:line="420" w:before="0" w:after="0"/>
        <w:ind w:firstLine="709"/>
        <w:jc w:val="both"/>
        <w:rPr/>
      </w:pPr>
      <w:r>
        <w:rPr>
          <w:rFonts w:eastAsia="Times New Roman" w:cs="Times New Roman"/>
          <w:b w:val="false"/>
          <w:bCs w:val="false"/>
          <w:i w:val="false"/>
          <w:iCs w:val="false"/>
          <w:sz w:val="24"/>
          <w:szCs w:val="24"/>
        </w:rPr>
        <w:t>Golden Harvest S.A. es una empresa con una trayectoria consolidada en su sector de actividad. A lo largo del tiempo ha logrado construir una reputación basada en la calidad de sus productos y en la solidez de sus vínculos comerciales. Sin embargo, su infraestructura digital ha permanecido estática durante un período prolongado, funcionando únicamente como un folleto digital informativo que no capitaliza el potencial del entorno en línea para generar nuevas oportunidades de negocio. El sitio web actual presenta una interfaz anticuada, con tiempos de carga elevados y una experiencia de usuario deficiente, especialmente en dispositivos móviles. Carece además por completo de mecanismos de captura de datos, seguimiento del comportamiento del usuario o facilitación del proceso de cotización.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Esta situación genera una brecha operativa de doble dimensión. Por un lado, la empresa pierde la oportunidad de convertir el tráfico digital que ya genera en leads calificados y potenciales clientes. Por otro, la gestión manual de los múltiples canales de comunicación institucional —sitio web, Instagram, TikTok, Facebook, WhatsApp y correo electrónico— impone una carga operativa desproporcionada sobre el equipo humano disponible. Esto deriva frecuentemente en la discontinuidad de publicaciones y en la inconsistencia de la imagen de marca a través de las distintas plataformas.</w:t>
      </w:r>
    </w:p>
    <w:p>
      <w:pPr>
        <w:pStyle w:val="Heading2"/>
        <w:spacing w:lineRule="auto" w:line="420" w:before="280" w:after="80"/>
        <w:jc w:val="start"/>
        <w:rPr/>
      </w:pPr>
      <w:bookmarkStart w:id="4" w:name="__RefHeading___Toc2002_910930204"/>
      <w:bookmarkEnd w:id="4"/>
      <w:r>
        <w:rPr>
          <w:rFonts w:eastAsia="Times New Roman" w:cs="Times New Roman" w:ascii="Times New Roman" w:hAnsi="Times New Roman"/>
          <w:b/>
          <w:bCs/>
          <w:i w:val="false"/>
          <w:iCs w:val="false"/>
          <w:sz w:val="26"/>
          <w:szCs w:val="26"/>
        </w:rPr>
        <w:t>1.2 Planteamiento del problema</w:t>
      </w:r>
    </w:p>
    <w:p>
      <w:pPr>
        <w:pStyle w:val="normal1"/>
        <w:spacing w:lineRule="auto" w:line="420" w:before="0" w:after="0"/>
        <w:ind w:firstLine="709"/>
        <w:jc w:val="both"/>
        <w:rPr/>
      </w:pPr>
      <w:r>
        <w:rPr>
          <w:rFonts w:eastAsia="Times New Roman" w:cs="Times New Roman"/>
          <w:b w:val="false"/>
          <w:bCs w:val="false"/>
          <w:i w:val="false"/>
          <w:iCs w:val="false"/>
          <w:sz w:val="24"/>
          <w:szCs w:val="24"/>
        </w:rPr>
        <w:t>La problemática central de la presente investigación puede describirse en torno a dos ejes de ineficiencia estrechamente relacionados. El primero refiere a la ausencia de una plataforma interactiva moderna capaz de transformar las visitas al sitio web en oportunidades comerciales concretas. El segundo se vincula con la dependencia de procesos manuales para la administración de la presencia de la empresa en un ecosistema multicanal complejo.</w:t>
      </w:r>
    </w:p>
    <w:p>
      <w:pPr>
        <w:pStyle w:val="normal1"/>
        <w:spacing w:lineRule="auto" w:line="420" w:before="0" w:after="0"/>
        <w:ind w:firstLine="709"/>
        <w:jc w:val="both"/>
        <w:rPr/>
      </w:pPr>
      <w:r>
        <w:rPr>
          <w:rFonts w:eastAsia="Times New Roman" w:cs="Times New Roman"/>
          <w:b w:val="false"/>
          <w:bCs w:val="false"/>
          <w:i w:val="false"/>
          <w:iCs w:val="false"/>
          <w:sz w:val="24"/>
          <w:szCs w:val="24"/>
        </w:rPr>
        <w:t>En lo relativo al primer eje, la inexistencia de un sistema de catálogo interactivo que permita al usuario explorar productos, construir una lista de interés y generar autónomamente una solicitud de cotización estructurada obliga al potencial cliente a recurrir a canales alternativos —generalmente informales— para iniciar el contacto comercial. Este proceso incrementa la fricción en el ciclo de ventas e impide la trazabilidad del interés del cliente y la recolección sistemática de datos orientados a la toma de decisiones comerciales. La ausencia de esta trazabilidad constituye en sí misma un activo estratégico no explotado de considerable valor (Kannan &amp; Li, 2017).</w:t>
      </w:r>
    </w:p>
    <w:p>
      <w:pPr>
        <w:pStyle w:val="normal1"/>
        <w:spacing w:lineRule="auto" w:line="420" w:before="0" w:after="0"/>
        <w:ind w:firstLine="709"/>
        <w:jc w:val="both"/>
        <w:rPr/>
      </w:pPr>
      <w:r>
        <w:rPr>
          <w:rFonts w:eastAsia="Times New Roman" w:cs="Times New Roman"/>
          <w:b w:val="false"/>
          <w:bCs w:val="false"/>
          <w:i w:val="false"/>
          <w:iCs w:val="false"/>
          <w:sz w:val="24"/>
          <w:szCs w:val="24"/>
        </w:rPr>
        <w:t>Respecto del segundo eje, la carga administrativa que implica mantener una presencia activa y coherente en múltiples plataformas de manera manual resulta inmanejable para la estructura operativa actual de la empresa. La generación de contenido para redes sociales, la administración de notificaciones y la documentación logística demandan una dedicación de recursos humanos que la organización no puede sostener de manera consistente. Esto se manifiesta en la escasez e irregularidad de publicaciones y en una percepción de inactividad institucional ante potenciales clientes.</w:t>
      </w:r>
    </w:p>
    <w:p>
      <w:pPr>
        <w:pStyle w:val="normal1"/>
        <w:spacing w:lineRule="auto" w:line="420" w:before="0" w:after="0"/>
        <w:ind w:firstLine="709"/>
        <w:jc w:val="both"/>
        <w:rPr/>
      </w:pPr>
      <w:r>
        <w:rPr>
          <w:rFonts w:eastAsia="Times New Roman" w:cs="Times New Roman"/>
          <w:b w:val="false"/>
          <w:bCs w:val="false"/>
          <w:i w:val="false"/>
          <w:iCs w:val="false"/>
          <w:sz w:val="24"/>
          <w:szCs w:val="24"/>
        </w:rPr>
        <w:t>A partir de la caracterización precedente, se formula la siguiente pregunta de investigación: ¿de qué manera la implementación de un catálogo interactivo desarrollado en React, articulado con una capa de automatización modular de procesos de negocio basada en n8n, puede resolver la ineficiencia operativa de Golden Harvest S.A.? Concretamente, ¿puede modernizar su imagen digital y asegurar una presencia omnicanal constante y profesional, optimizando simultáneamente la captura de oportunidades comerciales y la gestión de la comunicación institucional?</w:t>
      </w:r>
    </w:p>
    <w:p>
      <w:pPr>
        <w:pStyle w:val="Heading2"/>
        <w:spacing w:lineRule="auto" w:line="420" w:before="280" w:after="80"/>
        <w:jc w:val="start"/>
        <w:rPr/>
      </w:pPr>
      <w:bookmarkStart w:id="5" w:name="__RefHeading___Toc2004_910930204"/>
      <w:bookmarkEnd w:id="5"/>
      <w:r>
        <w:rPr>
          <w:rFonts w:eastAsia="Times New Roman" w:cs="Times New Roman" w:ascii="Times New Roman" w:hAnsi="Times New Roman"/>
          <w:b/>
          <w:bCs/>
          <w:i w:val="false"/>
          <w:iCs w:val="false"/>
          <w:sz w:val="26"/>
          <w:szCs w:val="26"/>
        </w:rPr>
        <w:t>1.3 Justificación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La relevancia del presente trabajo se fundamenta en tres dimensiones complementarias: la pertinencia tecnológica de la solución propuesta, el impacto operativo proyectado y la transferibilidad del modelo resultante a otros contextos empresariales similares.</w:t>
      </w:r>
    </w:p>
    <w:p>
      <w:pPr>
        <w:pStyle w:val="normal1"/>
        <w:spacing w:lineRule="auto" w:line="420" w:before="0" w:after="0"/>
        <w:ind w:firstLine="709"/>
        <w:jc w:val="both"/>
        <w:rPr/>
      </w:pPr>
      <w:r>
        <w:rPr>
          <w:rFonts w:eastAsia="Times New Roman" w:cs="Times New Roman"/>
          <w:b w:val="false"/>
          <w:bCs w:val="false"/>
          <w:i w:val="false"/>
          <w:iCs w:val="false"/>
          <w:sz w:val="24"/>
          <w:szCs w:val="24"/>
        </w:rPr>
        <w:t>Desde el punto de vista tecnológico, la elección de React como plataforma de desarrollo del frontend responde a la madurez, la robustez y la penetración de esta biblioteca en el ecosistema del desarrollo web moderno (React Team, 2024). La arquitectura de Single Page Application (SPA) que React habilita garantiza tiempos de carga rápidos, experiencia de usuario fluida en dispositivos heterogéneos, y una estructura de código mantenible y escalable. Por su parte, la selección de n8n como orquestador de flujos de trabajo obedece a sus características de bajo código, capacidad de integración con APIs externas y modelo de despliegue autoalojado. Este modelo preserva el control total sobre los datos y elimina la dependencia de servicios SaaS de terceros con restricciones de volumen (n8n GmbH, 2024).</w:t>
      </w:r>
    </w:p>
    <w:p>
      <w:pPr>
        <w:pStyle w:val="normal1"/>
        <w:spacing w:lineRule="auto" w:line="420" w:before="0" w:after="0"/>
        <w:ind w:firstLine="709"/>
        <w:jc w:val="both"/>
        <w:rPr/>
      </w:pPr>
      <w:r>
        <w:rPr>
          <w:rFonts w:eastAsia="Times New Roman" w:cs="Times New Roman"/>
          <w:b w:val="false"/>
          <w:bCs w:val="false"/>
          <w:i w:val="false"/>
          <w:iCs w:val="false"/>
          <w:sz w:val="24"/>
          <w:szCs w:val="24"/>
        </w:rPr>
        <w:t>La elección del modelo "Lead-to-Sale" asistido, en lugar de un sistema de checkout transaccional directo, responde a la naturaleza consultiva del proceso de compra en el segmento de mercado de Golden Harvest S.A. Kotler et al. (2021) argumentan que en mercados B2B y en sectores de alto valor unitario, la intermediación humana en el cierre de la venta no es un obstáculo sino una ventaja competitiva. El cliente busca asesoramiento experto que acompañe la decisión de compra. Este modelo requiere, sin embargo, que el proceso previo al contacto comercial sea suficientemente fluido y atractivo para retener el interés del usuario hasta el momento de la solicitud de cotización.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Desde la perspectiva del impacto operativo, la implementación de la arquitectura propuesta permitirá liberar al equipo humano de la empresa de la ejecución de tareas repetitivas de bajo valor estratégico, redirigiendo esa capacidad hacia actividades que requieren juicio, creatividad y relacionamiento humano. Esta conclusión es consistente con las proyecciones de Davenport y Ronanki (2018) sobre el impacto de la automatización inteligente en las organizaciones. Finalmente, la arquitectura modular y desacoplada convierte a cada componente automatizado en un activo digital reutilizable, transferible a otros proyectos o unidades de negocio.</w:t>
      </w:r>
    </w:p>
    <w:p>
      <w:pPr>
        <w:pStyle w:val="normal1"/>
        <w:spacing w:lineRule="auto" w:line="420" w:before="0" w:after="0"/>
        <w:ind w:firstLine="709"/>
        <w:jc w:val="both"/>
        <w:rPr/>
      </w:pPr>
      <w:r>
        <w:rPr>
          <w:rFonts w:eastAsia="Times New Roman" w:cs="Times New Roman"/>
          <w:b w:val="false"/>
          <w:bCs w:val="false"/>
          <w:i w:val="false"/>
          <w:iCs w:val="false"/>
          <w:sz w:val="24"/>
          <w:szCs w:val="24"/>
        </w:rPr>
        <w:t>Desde el punto de vista académico, el trabajo contribuye a un vacío identificable en la literatura regional: la carencia de casos documentados de transformación digital de PyMEs argentinas mediante stacks tecnológicos de código abierto. Estos casos podrían funcionar como modelos de referencia para organizaciones con restricciones presupuestarias similares. "Bajo costo" se entiende aquí como ausencia de licenciamiento y de dependencia contractual de un proveedor, no necesariamente como el menor costo de infraestructura en términos absolutos.</w:t>
      </w:r>
    </w:p>
    <w:p>
      <w:pPr>
        <w:pStyle w:val="Heading2"/>
        <w:spacing w:lineRule="auto" w:line="420" w:before="280" w:after="80"/>
        <w:jc w:val="start"/>
        <w:rPr/>
      </w:pPr>
      <w:bookmarkStart w:id="6" w:name="__RefHeading___Toc2006_910930204"/>
      <w:bookmarkEnd w:id="6"/>
      <w:r>
        <w:rPr>
          <w:rFonts w:eastAsia="Times New Roman" w:cs="Times New Roman" w:ascii="Times New Roman" w:hAnsi="Times New Roman"/>
          <w:b/>
          <w:bCs/>
          <w:i w:val="false"/>
          <w:iCs w:val="false"/>
          <w:sz w:val="26"/>
          <w:szCs w:val="26"/>
        </w:rPr>
        <w:t>1.4 Hipótesis de investigación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H1 (Hipótesis principal): La implementación de un catálogo interactivo desarrollado en React integrado con una capa de automatización modular de procesos de negocio basada en n8n mejora los indicadores de eficiencia operativa de Golden Harvest S.A. Estos indicadores se cuantifican como: (a) tiempo de procesamiento de una solicitud de cotización desde la recepción hasta la notificación al equipo de ventas; (b) tiempo de generación de documentación logística por pedido; y (c) métricas de rendimiento técnico del sitio web (puntuación Lighthouse) respecto del estado preexistente. Nota sobre el alcance de (a): a diferencia de (b) y (c), no se dispone de una medición directa del proceso manual de atención de una cotización contra la cual comparar. Esta dimensión se trata en el Capítulo 5 como criterio de aceptación fijado en el diseño, no como mejora comparativa — la limitación se declara aquí de antemano en vez de introducirse recién en los resultados.</w:t>
      </w:r>
    </w:p>
    <w:p>
      <w:pPr>
        <w:pStyle w:val="normal1"/>
        <w:spacing w:lineRule="auto" w:line="420" w:before="0" w:after="0"/>
        <w:ind w:firstLine="709"/>
        <w:jc w:val="both"/>
        <w:rPr/>
      </w:pPr>
      <w:r>
        <w:rPr>
          <w:rFonts w:eastAsia="Times New Roman" w:cs="Times New Roman"/>
          <w:b w:val="false"/>
          <w:bCs w:val="false"/>
          <w:i w:val="false"/>
          <w:iCs w:val="false"/>
          <w:sz w:val="24"/>
          <w:szCs w:val="24"/>
        </w:rPr>
        <w:t>H2 (Hipótesis secundaria): El modelo "Lead-to-Sale" asistido, implementado sobre la arquitectura propuesta, produce una experiencia de usuario que permite a los visitantes del catálogo completar el proceso de solicitud de cotización de manera autónoma, sin necesidad de asistencia externa. Esta hipótesis no fue evaluada empíricamente en el presente trabajo, dado que la prueba de usabilidad prevista para su validación no se llegó a ejecutar por restricciones de tiempo del proyecto — limitación que se reconoce aquí en lugar de omitirse. Queda planteada como diseño de investigación para un trabajo de validación futuro (véase §6.4).</w:t>
      </w:r>
    </w:p>
    <w:p>
      <w:pPr>
        <w:pStyle w:val="normal1"/>
        <w:spacing w:lineRule="auto" w:line="420" w:before="0" w:after="0"/>
        <w:ind w:firstLine="709"/>
        <w:jc w:val="both"/>
        <w:rPr/>
      </w:pPr>
      <w:r>
        <w:rPr>
          <w:rFonts w:eastAsia="Times New Roman" w:cs="Times New Roman"/>
          <w:b w:val="false"/>
          <w:bCs w:val="false"/>
          <w:i w:val="false"/>
          <w:iCs w:val="false"/>
          <w:sz w:val="24"/>
          <w:szCs w:val="24"/>
        </w:rPr>
        <w:t>Variable independiente: El ecosistema digital implementado (catálogo React + automatización n8n).</w:t>
      </w:r>
    </w:p>
    <w:p>
      <w:pPr>
        <w:pStyle w:val="normal1"/>
        <w:spacing w:lineRule="auto" w:line="420" w:before="0" w:after="0"/>
        <w:ind w:firstLine="709"/>
        <w:jc w:val="both"/>
        <w:rPr/>
      </w:pPr>
      <w:r>
        <w:rPr>
          <w:rFonts w:eastAsia="Times New Roman" w:cs="Times New Roman"/>
          <w:b w:val="false"/>
          <w:bCs w:val="false"/>
          <w:i w:val="false"/>
          <w:iCs w:val="false"/>
          <w:sz w:val="24"/>
          <w:szCs w:val="24"/>
        </w:rPr>
        <w:t>Variable dependiente: Los indicadores de eficiencia operativa y experiencia de usuario descritos en H1 y H2.</w:t>
      </w:r>
    </w:p>
    <w:p>
      <w:pPr>
        <w:pStyle w:val="normal1"/>
        <w:spacing w:lineRule="auto" w:line="420" w:before="0" w:after="0"/>
        <w:ind w:firstLine="709"/>
        <w:jc w:val="both"/>
        <w:rPr/>
      </w:pPr>
      <w:r>
        <w:rPr>
          <w:rFonts w:eastAsia="Times New Roman" w:cs="Times New Roman"/>
          <w:b w:val="false"/>
          <w:bCs w:val="false"/>
          <w:i w:val="false"/>
          <w:iCs w:val="false"/>
          <w:sz w:val="24"/>
          <w:szCs w:val="24"/>
        </w:rPr>
        <w:t>Variables de control: La infraestructura de servidor, la conectividad de red del entorno de pruebas y el perfil de los usuarios participantes en las pruebas de usabilidad.</w:t>
      </w:r>
    </w:p>
    <w:p>
      <w:pPr>
        <w:pStyle w:val="Heading2"/>
        <w:spacing w:lineRule="auto" w:line="420" w:before="280" w:after="80"/>
        <w:jc w:val="start"/>
        <w:rPr/>
      </w:pPr>
      <w:bookmarkStart w:id="7" w:name="__RefHeading___Toc2008_910930204"/>
      <w:bookmarkEnd w:id="7"/>
      <w:r>
        <w:rPr>
          <w:rFonts w:eastAsia="Times New Roman" w:cs="Times New Roman" w:ascii="Times New Roman" w:hAnsi="Times New Roman"/>
          <w:b/>
          <w:bCs/>
          <w:i w:val="false"/>
          <w:iCs w:val="false"/>
          <w:sz w:val="26"/>
          <w:szCs w:val="26"/>
        </w:rPr>
        <w:t>1.5 Objetivo general</w:t>
      </w:r>
    </w:p>
    <w:p>
      <w:pPr>
        <w:pStyle w:val="normal1"/>
        <w:spacing w:lineRule="auto" w:line="420" w:before="0" w:after="0"/>
        <w:ind w:firstLine="709"/>
        <w:jc w:val="both"/>
        <w:rPr/>
      </w:pPr>
      <w:r>
        <w:rPr>
          <w:rFonts w:eastAsia="Times New Roman" w:cs="Times New Roman"/>
          <w:b w:val="false"/>
          <w:bCs w:val="false"/>
          <w:i w:val="false"/>
          <w:iCs w:val="false"/>
          <w:sz w:val="24"/>
          <w:szCs w:val="24"/>
        </w:rPr>
        <w:t xml:space="preserve">Diseñar e implementar un ecosistema digital moderno para Golden Harvest S.A. basado en una interfaz de catálogo interactivo desarrollada en React y un motor de automatización modular construido sobre n8n, orientado a la profesionalización de la imagen omnicanal de la empresa, la optimización de la captura y gestión de leads calificados, y la eficiencia operativa mediante la reducción sistemática de procesos manuales en las áreas de comunicación, marketing y logística. Validar su desempeño mediante pruebas controladas en entorno de </w:t>
      </w:r>
      <w:r>
        <w:rPr>
          <w:i/>
        </w:rPr>
        <w:t>staging</w:t>
      </w:r>
      <w:r>
        <w:rPr/>
        <w:t>.</w:t>
      </w:r>
    </w:p>
    <w:p>
      <w:pPr>
        <w:pStyle w:val="Heading2"/>
        <w:spacing w:lineRule="auto" w:line="420" w:before="280" w:after="80"/>
        <w:jc w:val="start"/>
        <w:rPr/>
      </w:pPr>
      <w:bookmarkStart w:id="8" w:name="__RefHeading___Toc2010_910930204"/>
      <w:bookmarkEnd w:id="8"/>
      <w:r>
        <w:rPr>
          <w:rFonts w:eastAsia="Times New Roman" w:cs="Times New Roman" w:ascii="Times New Roman" w:hAnsi="Times New Roman"/>
          <w:b/>
          <w:bCs/>
          <w:i w:val="false"/>
          <w:iCs w:val="false"/>
          <w:sz w:val="26"/>
          <w:szCs w:val="26"/>
        </w:rPr>
        <w:t>1.6 Objetivos específicos</w:t>
      </w:r>
    </w:p>
    <w:p>
      <w:pPr>
        <w:pStyle w:val="normal1"/>
        <w:spacing w:lineRule="auto" w:line="420" w:before="0" w:after="0"/>
        <w:ind w:firstLine="709"/>
        <w:jc w:val="both"/>
        <w:rPr/>
      </w:pPr>
      <w:r>
        <w:rPr>
          <w:rFonts w:eastAsia="Times New Roman" w:cs="Times New Roman"/>
          <w:b w:val="false"/>
          <w:bCs w:val="false"/>
          <w:i w:val="false"/>
          <w:iCs w:val="false"/>
          <w:sz w:val="24"/>
          <w:szCs w:val="24"/>
        </w:rPr>
        <w:t>1. Desarrollar una aplicación web de tipo Single Page Application (SPA) utilizando React, con una interfaz optimizada para dispositivos móviles y de escritorio, que reemplace el sitio actual de Golden Harvest S.A. y provea métricas de rendimiento alineadas a los estándares de los Core Web Vitals de Google.</w:t>
      </w:r>
    </w:p>
    <w:p>
      <w:pPr>
        <w:pStyle w:val="normal1"/>
        <w:spacing w:lineRule="auto" w:line="420" w:before="0" w:after="0"/>
        <w:ind w:firstLine="709"/>
        <w:jc w:val="both"/>
        <w:rPr/>
      </w:pPr>
      <w:r>
        <w:rPr>
          <w:rFonts w:eastAsia="Times New Roman" w:cs="Times New Roman"/>
          <w:b w:val="false"/>
          <w:bCs w:val="false"/>
          <w:i w:val="false"/>
          <w:iCs w:val="false"/>
          <w:sz w:val="24"/>
          <w:szCs w:val="24"/>
        </w:rPr>
        <w:t xml:space="preserve">2. Implementar un sistema de catálogo de productos con funcionalidad de carrito de compras siguiendo el modelo "Lead-to-Sale", que permita al usuario explorar y seleccionar productos y generar automáticamente una solicitud de cotización estructurada enviada mediante </w:t>
      </w:r>
      <w:r>
        <w:rPr>
          <w:i/>
        </w:rPr>
        <w:t>webhook</w:t>
      </w:r>
      <w:r>
        <w:rPr/>
        <w:t xml:space="preserve"> al motor n8n.</w:t>
      </w:r>
    </w:p>
    <w:p>
      <w:pPr>
        <w:pStyle w:val="normal1"/>
        <w:spacing w:lineRule="auto" w:line="420" w:before="0" w:after="0"/>
        <w:ind w:firstLine="709"/>
        <w:jc w:val="both"/>
        <w:rPr/>
      </w:pPr>
      <w:r>
        <w:rPr>
          <w:rFonts w:eastAsia="Times New Roman" w:cs="Times New Roman"/>
          <w:b w:val="false"/>
          <w:bCs w:val="false"/>
          <w:i w:val="false"/>
          <w:iCs w:val="false"/>
          <w:sz w:val="24"/>
          <w:szCs w:val="24"/>
        </w:rPr>
        <w:t>3. Diseñar y desplegar una arquitectura modular de flujos de automatización en n8n que gestione la creación y distribución autónoma de contenido de marca en las plataformas de redes sociales clave para la empresa (Instagram, TikTok, Facebook y WhatsApp), garantizando presencia digital activa y coherente con intervención humana mínima.</w:t>
      </w:r>
    </w:p>
    <w:p>
      <w:pPr>
        <w:pStyle w:val="normal1"/>
        <w:spacing w:lineRule="auto" w:line="420" w:before="0" w:after="0"/>
        <w:ind w:firstLine="709"/>
        <w:jc w:val="both"/>
        <w:rPr/>
      </w:pPr>
      <w:r>
        <w:rPr>
          <w:rFonts w:eastAsia="Times New Roman" w:cs="Times New Roman"/>
          <w:b w:val="false"/>
          <w:bCs w:val="false"/>
          <w:i w:val="false"/>
          <w:iCs w:val="false"/>
          <w:sz w:val="24"/>
          <w:szCs w:val="24"/>
        </w:rPr>
        <w:t>4. Automatizar la generación de documentación logística esencial —remitos, etiquetas de envío y reportes periódicos— integrando los datos del sistema de pedidos con los flujos de n8n, reduciendo la carga administrativa y el riesgo de error humano.</w:t>
      </w:r>
    </w:p>
    <w:p>
      <w:pPr>
        <w:pStyle w:val="normal1"/>
        <w:spacing w:lineRule="auto" w:line="420" w:before="0" w:after="0"/>
        <w:ind w:firstLine="709"/>
        <w:jc w:val="both"/>
        <w:rPr/>
      </w:pPr>
      <w:r>
        <w:rPr>
          <w:rFonts w:eastAsia="Times New Roman" w:cs="Times New Roman"/>
          <w:b w:val="false"/>
          <w:bCs w:val="false"/>
          <w:i w:val="false"/>
          <w:iCs w:val="false"/>
          <w:sz w:val="24"/>
          <w:szCs w:val="24"/>
        </w:rPr>
        <w:t>5. Validar el ecosistema implementado mediante un protocolo de pruebas de unidad, integración y resiliencia en entorno de staging.</w:t>
      </w:r>
    </w:p>
    <w:p>
      <w:pPr>
        <w:pStyle w:val="Heading2"/>
        <w:spacing w:lineRule="auto" w:line="420" w:before="280" w:after="80"/>
        <w:jc w:val="start"/>
        <w:rPr/>
      </w:pPr>
      <w:bookmarkStart w:id="9" w:name="__RefHeading___Toc2012_910930204"/>
      <w:bookmarkEnd w:id="9"/>
      <w:r>
        <w:rPr>
          <w:rFonts w:eastAsia="Times New Roman" w:cs="Times New Roman" w:ascii="Times New Roman" w:hAnsi="Times New Roman"/>
          <w:b/>
          <w:bCs/>
          <w:i w:val="false"/>
          <w:iCs w:val="false"/>
          <w:sz w:val="26"/>
          <w:szCs w:val="26"/>
        </w:rPr>
        <w:t>1.7 Alcance y limitaciones</w:t>
      </w:r>
    </w:p>
    <w:p>
      <w:pPr>
        <w:pStyle w:val="normal1"/>
        <w:spacing w:lineRule="auto" w:line="420" w:before="0" w:after="0"/>
        <w:ind w:firstLine="709"/>
        <w:jc w:val="both"/>
        <w:rPr/>
      </w:pPr>
      <w:r>
        <w:rPr>
          <w:rFonts w:eastAsia="Times New Roman" w:cs="Times New Roman"/>
          <w:b w:val="false"/>
          <w:bCs w:val="false"/>
          <w:i w:val="false"/>
          <w:iCs w:val="false"/>
          <w:sz w:val="24"/>
          <w:szCs w:val="24"/>
        </w:rPr>
        <w:t>El presente proyecto comprende el desarrollo completo del frontend interactivo de Golden Harvest S.A. en React, la configuración y puesta en marcha de la instancia de n8n en un entorno de servidor dedicado contenedorizado con Docker, y la implementación de los ocho workflows de automatización descritos en el Capítulo 4. El alcance omnicanal abarca, como diseño, WhatsApp Business, Instagram, TikTok, Facebook, correo electrónico y el propio sitio web; en el estado efectivamente ejecutado de este trabajo, los canales de salida activos son el correo electrónico y las planillas de Google, mientras que la publicación en redes sociales y la mensajería por WhatsApp permanecen como ramas de producción no activadas (§4.3).</w:t>
      </w:r>
    </w:p>
    <w:p>
      <w:pPr>
        <w:pStyle w:val="normal1"/>
        <w:spacing w:lineRule="auto" w:line="420" w:before="0" w:after="0"/>
        <w:ind w:firstLine="709"/>
        <w:jc w:val="both"/>
        <w:rPr/>
      </w:pPr>
      <w:r>
        <w:rPr>
          <w:rFonts w:eastAsia="Times New Roman" w:cs="Times New Roman"/>
          <w:b w:val="false"/>
          <w:bCs w:val="false"/>
          <w:i w:val="false"/>
          <w:iCs w:val="false"/>
          <w:sz w:val="24"/>
          <w:szCs w:val="24"/>
        </w:rPr>
        <w:t>En cuanto a las limitaciones del proyecto, es necesario señalar explícitamente las siguientes:</w:t>
      </w:r>
    </w:p>
    <w:p>
      <w:pPr>
        <w:pStyle w:val="normal1"/>
        <w:spacing w:lineRule="auto" w:line="420" w:before="0" w:after="0"/>
        <w:ind w:firstLine="709"/>
        <w:jc w:val="both"/>
        <w:rPr/>
      </w:pPr>
      <w:r>
        <w:rPr>
          <w:rFonts w:eastAsia="Times New Roman" w:cs="Times New Roman"/>
          <w:b w:val="false"/>
          <w:bCs w:val="false"/>
          <w:i w:val="false"/>
          <w:iCs w:val="false"/>
          <w:sz w:val="24"/>
          <w:szCs w:val="24"/>
        </w:rPr>
        <w:t>(a) Sin acceso real a la empresa: Este trabajo es una tesis modelo construida a partir del sitio web público y preexistente de Golden Harvest S.A., sin ningún acceso ni contacto con la empresa, su personal, sus sistemas o sus datos reales de operación, conforme a las restricciones declaradas para este proyecto. No se realizaron entrevistas, sesiones de trabajo, ni ninguna otra forma de recolección directa de información con responsables de la empresa. Todos los procesos manuales, tiempos operativos, criterios de aceptación y datos de clientes utilizados en este documento son estimaciones razonadas del equipo de tesis o datos simulados, no información recabada de Golden Harvest S.A.</w:t>
      </w:r>
    </w:p>
    <w:p>
      <w:pPr>
        <w:pStyle w:val="normal1"/>
        <w:spacing w:lineRule="auto" w:line="420" w:before="0" w:after="0"/>
        <w:ind w:firstLine="709"/>
        <w:jc w:val="both"/>
        <w:rPr/>
      </w:pPr>
      <w:r>
        <w:rPr>
          <w:rFonts w:eastAsia="Times New Roman" w:cs="Times New Roman"/>
          <w:b w:val="false"/>
          <w:bCs w:val="false"/>
          <w:i w:val="false"/>
          <w:iCs w:val="false"/>
          <w:sz w:val="24"/>
          <w:szCs w:val="24"/>
        </w:rPr>
        <w:t>(b) Alcance funcional: El proyecto no incluye el desarrollo de un backend de gestión de inventario ni la integración con sistemas ERP o de facturación electrónica; tampoco contempla el manejo físico de productos, la coordinación con operadores logísticos externos ni la gestión de medios de pago transaccionales.</w:t>
      </w:r>
    </w:p>
    <w:p>
      <w:pPr>
        <w:pStyle w:val="normal1"/>
        <w:spacing w:lineRule="auto" w:line="420" w:before="0" w:after="0"/>
        <w:ind w:firstLine="709"/>
        <w:jc w:val="both"/>
        <w:rPr/>
      </w:pPr>
      <w:r>
        <w:rPr>
          <w:rFonts w:eastAsia="Times New Roman" w:cs="Times New Roman"/>
          <w:b w:val="false"/>
          <w:bCs w:val="false"/>
          <w:i w:val="false"/>
          <w:iCs w:val="false"/>
          <w:sz w:val="24"/>
          <w:szCs w:val="24"/>
        </w:rPr>
        <w:t>(c) Estado de los resultados: Al momento de la presentación de esta tesis, el sistema se encuentra en la fase final de validación en entorno de staging y está proyectado para su despliegue en producción en la última semana de mayo de 2026. Los resultados cuantitativos del Capítulo 5 corresponden a mediciones realizadas en ese entorno controlado y no a datos de operación comercial a plena escala. La validación definitiva del impacto sobre los indicadores de negocio requerirá la recolección y análisis de datos operacionales durante un período mínimo de 90 días en producción, lo que constituye una línea de trabajo futura de alta prioridad.</w:t>
      </w:r>
    </w:p>
    <w:p>
      <w:pPr>
        <w:pStyle w:val="normal1"/>
        <w:spacing w:lineRule="auto" w:line="420" w:before="0" w:after="0"/>
        <w:ind w:firstLine="709"/>
        <w:jc w:val="both"/>
        <w:rPr/>
      </w:pPr>
      <w:r>
        <w:rPr>
          <w:rFonts w:eastAsia="Times New Roman" w:cs="Times New Roman"/>
          <w:b w:val="false"/>
          <w:bCs w:val="false"/>
          <w:i w:val="false"/>
          <w:iCs w:val="false"/>
          <w:sz w:val="24"/>
          <w:szCs w:val="24"/>
        </w:rPr>
        <w:t>(d) Dependencias externas: Los flujos de generación de contenido multimedia para redes sociales dependen de APIs de terceros —particularmente la API de Meta para Instagram y Facebook y la API de TikTok for Business— cuyas condiciones de acceso, límites de tasa y términos de servicio están sujetos a cambios unilaterales por parte de sus proveedores.</w:t>
      </w:r>
    </w:p>
    <w:p>
      <w:pPr>
        <w:pStyle w:val="normal1"/>
        <w:spacing w:lineRule="auto" w:line="420" w:before="0" w:after="0"/>
        <w:ind w:firstLine="709"/>
        <w:jc w:val="both"/>
        <w:rPr/>
      </w:pPr>
      <w:r>
        <w:rPr>
          <w:rFonts w:eastAsia="Times New Roman" w:cs="Times New Roman"/>
          <w:b w:val="false"/>
          <w:bCs w:val="false"/>
          <w:i w:val="false"/>
          <w:iCs w:val="false"/>
          <w:sz w:val="24"/>
          <w:szCs w:val="24"/>
        </w:rPr>
        <w:t>(e) Muestra de usabilidad: no aplica. La prueba de usabilidad prevista para validar VD4/H2 no se ejecutó en el alcance de este trabajo (véase §6.4).</w:t>
      </w:r>
    </w:p>
    <w:p>
      <w:pPr>
        <w:pStyle w:val="normal1"/>
        <w:spacing w:lineRule="auto" w:line="240" w:before="0" w:after="0"/>
        <w:rPr/>
      </w:pPr>
      <w:r>
        <w:rPr/>
      </w:r>
      <w:r>
        <w:br w:type="page"/>
      </w:r>
    </w:p>
    <w:p>
      <w:pPr>
        <w:pStyle w:val="Heading1"/>
        <w:spacing w:lineRule="auto" w:line="240" w:before="0" w:after="360"/>
        <w:jc w:val="center"/>
        <w:rPr/>
      </w:pPr>
      <w:bookmarkStart w:id="10" w:name="__RefHeading___Toc2014_910930204"/>
      <w:bookmarkEnd w:id="10"/>
      <w:r>
        <w:rPr>
          <w:rFonts w:eastAsia="Times New Roman" w:cs="Times New Roman" w:ascii="Times New Roman" w:hAnsi="Times New Roman"/>
          <w:b/>
          <w:bCs/>
          <w:i w:val="false"/>
          <w:iCs w:val="false"/>
          <w:sz w:val="28"/>
          <w:szCs w:val="28"/>
        </w:rPr>
        <w:t>CAPÍTULO 2: MARCO TEÓRICO</w:t>
      </w:r>
    </w:p>
    <w:p>
      <w:pPr>
        <w:pStyle w:val="normal1"/>
        <w:spacing w:lineRule="auto" w:line="420" w:before="0" w:after="0"/>
        <w:ind w:firstLine="709"/>
        <w:jc w:val="both"/>
        <w:rPr/>
      </w:pPr>
      <w:r>
        <w:rPr>
          <w:rFonts w:eastAsia="Times New Roman" w:cs="Times New Roman"/>
          <w:b w:val="false"/>
          <w:bCs w:val="false"/>
          <w:i w:val="false"/>
          <w:iCs w:val="false"/>
          <w:sz w:val="24"/>
          <w:szCs w:val="24"/>
        </w:rPr>
        <w:t>Este capítulo presenta los fundamentos conceptuales y el estado del conocimiento en las áreas disciplinares que sustentan el diseño e implementación de la solución propuesta. Se abordan los modelos de comercio electrónico y catálogos digitales, el estado del arte en transformación digital de PyMEs, los principios de la automatización modular de procesos de negocio, las estrategias de marketing omnicanal y el impacto del rendimiento técnico en la experiencia del usuario.</w:t>
      </w:r>
    </w:p>
    <w:p>
      <w:pPr>
        <w:pStyle w:val="Heading2"/>
        <w:spacing w:lineRule="auto" w:line="420" w:before="280" w:after="80"/>
        <w:jc w:val="start"/>
        <w:rPr/>
      </w:pPr>
      <w:bookmarkStart w:id="11" w:name="__RefHeading___Toc2016_910930204"/>
      <w:bookmarkEnd w:id="11"/>
      <w:r>
        <w:rPr>
          <w:rFonts w:eastAsia="Times New Roman" w:cs="Times New Roman" w:ascii="Times New Roman" w:hAnsi="Times New Roman"/>
          <w:b/>
          <w:bCs/>
          <w:i w:val="false"/>
          <w:iCs w:val="false"/>
          <w:sz w:val="26"/>
          <w:szCs w:val="26"/>
        </w:rPr>
        <w:t>2.1 Modelos de E-commerce y Catálogos Digitales</w:t>
      </w:r>
    </w:p>
    <w:p>
      <w:pPr>
        <w:pStyle w:val="normal1"/>
        <w:spacing w:lineRule="auto" w:line="420" w:before="0" w:after="0"/>
        <w:ind w:firstLine="709"/>
        <w:jc w:val="both"/>
        <w:rPr/>
      </w:pPr>
      <w:r>
        <w:rPr>
          <w:rFonts w:eastAsia="Times New Roman" w:cs="Times New Roman"/>
          <w:b w:val="false"/>
          <w:bCs w:val="false"/>
          <w:i w:val="false"/>
          <w:iCs w:val="false"/>
          <w:sz w:val="24"/>
          <w:szCs w:val="24"/>
        </w:rPr>
        <w:t>El comercio electrónico evolucionó, en las últimas dos décadas, de la transacción unidireccional de la Web 1.0 hacia modelos interactivos y orientados a datos (Aghaei et al., 2012). La literatura distingue hoy una diversidad de modelos de e-commerce que responden a necesidades de negocio sustancialmente distintas (Chaffey &amp; Ellis-Chadwick, 2022).</w:t>
      </w:r>
    </w:p>
    <w:p>
      <w:pPr>
        <w:pStyle w:val="normal1"/>
        <w:spacing w:lineRule="auto" w:line="420" w:before="0" w:after="0"/>
        <w:ind w:firstLine="709"/>
        <w:jc w:val="both"/>
        <w:rPr/>
      </w:pPr>
      <w:r>
        <w:rPr>
          <w:rFonts w:eastAsia="Times New Roman" w:cs="Times New Roman"/>
          <w:b w:val="false"/>
          <w:bCs w:val="false"/>
          <w:i w:val="false"/>
          <w:iCs w:val="false"/>
          <w:sz w:val="24"/>
          <w:szCs w:val="24"/>
        </w:rPr>
        <w:t>En el extremo de mayor automatización se encuentran los modelos de transacción directa (Direct-to-Consumer, D2C), en los cuales el cliente completa autónomamente el proceso de compra a través de una plataforma digital sin intervención humana en el cierre de la venta. Este modelo, popularizado por plataformas como WooCommerce, Shopify o Mercado Libre, resulta especialmente adecuado para productos de bajo valor unitario, alta estandarización y demanda predecible.</w:t>
      </w:r>
    </w:p>
    <w:p>
      <w:pPr>
        <w:pStyle w:val="normal1"/>
        <w:spacing w:lineRule="auto" w:line="420" w:before="0" w:after="0"/>
        <w:ind w:firstLine="709"/>
        <w:jc w:val="both"/>
        <w:rPr/>
      </w:pPr>
      <w:r>
        <w:rPr>
          <w:rFonts w:eastAsia="Times New Roman" w:cs="Times New Roman"/>
          <w:b w:val="false"/>
          <w:bCs w:val="false"/>
          <w:i w:val="false"/>
          <w:iCs w:val="false"/>
          <w:sz w:val="24"/>
          <w:szCs w:val="24"/>
        </w:rPr>
        <w:t>Sin embargo, existe un segmento significativo del comercio que no se adapta de manera óptima a la lógica de la transacción directa. En sectores donde los productos requieren asesoramiento técnico especializado, donde los volúmenes de compra son elevados o variables, o donde la relación comercial implica una negociación individualizada de condiciones, el modelo "Lead-to-Sale" asistido emerge como una alternativa de mayor eficacia (Kotler et al., 2021). En este modelo, el catálogo digital actúa como un dispositivo de calificación y canalización del interés del cliente: el usuario explora los productos, construye una selección y genera una solicitud de cotización que es recibida por el equipo de ventas con la información estructurada necesaria para ofrecer una respuesta personalizada y de alto valor. Kannan y Li (2017) denominan a este enfoque "asistencia digital al ciclo de ventas consultivo" y documentan su efectividad en sectores industriales, construcción y distribución mayorista. Evidencia más reciente confirma esta tendencia: Lahtinen et al. (2024), en un estudio sobre la digitalización de procesos de venta B2B, encuentran que las herramientas digitales que asisten —sin reemplazar— la intervención del vendedor humano en el cierre de la venta son las que mejor se adaptan a ciclos de venta consultivos, validando la elección arquitectónica del modelo "Lead-to-Sale" adoptado en este trabajo por sobre un checkout transaccional directo.</w:t>
      </w:r>
    </w:p>
    <w:p>
      <w:pPr>
        <w:pStyle w:val="normal1"/>
        <w:spacing w:lineRule="auto" w:line="420" w:before="0" w:after="0"/>
        <w:ind w:firstLine="709"/>
        <w:jc w:val="both"/>
        <w:rPr/>
      </w:pPr>
      <w:r>
        <w:rPr>
          <w:rFonts w:eastAsia="Times New Roman" w:cs="Times New Roman"/>
          <w:b w:val="false"/>
          <w:bCs w:val="false"/>
          <w:i w:val="false"/>
          <w:iCs w:val="false"/>
          <w:sz w:val="24"/>
          <w:szCs w:val="24"/>
        </w:rPr>
        <w:t>A nivel de implementación, el catálogo se desarrolló como una Single Page Application con React y Vite, cuyo detalle técnico se presenta en el Capítulo 4; el foco conceptual de este trabajo, sin embargo, no es la biblioteca de frontend sino la capa de automatización construida sobre n8n que se desarrolla en la sección 2.3.</w:t>
      </w:r>
    </w:p>
    <w:p>
      <w:pPr>
        <w:pStyle w:val="Heading2"/>
        <w:spacing w:lineRule="auto" w:line="420" w:before="280" w:after="80"/>
        <w:jc w:val="start"/>
        <w:rPr/>
      </w:pPr>
      <w:bookmarkStart w:id="12" w:name="__RefHeading___Toc2018_910930204"/>
      <w:bookmarkEnd w:id="12"/>
      <w:r>
        <w:rPr>
          <w:rFonts w:eastAsia="Times New Roman" w:cs="Times New Roman" w:ascii="Times New Roman" w:hAnsi="Times New Roman"/>
          <w:b/>
          <w:bCs/>
          <w:i w:val="false"/>
          <w:iCs w:val="false"/>
          <w:sz w:val="26"/>
          <w:szCs w:val="26"/>
        </w:rPr>
        <w:t>2.2 Transformación Digital en PyMEs: estado del arte</w:t>
      </w:r>
    </w:p>
    <w:p>
      <w:pPr>
        <w:pStyle w:val="normal1"/>
        <w:spacing w:lineRule="auto" w:line="420" w:before="0" w:after="0"/>
        <w:ind w:firstLine="709"/>
        <w:jc w:val="both"/>
        <w:rPr/>
      </w:pPr>
      <w:r>
        <w:rPr>
          <w:rFonts w:eastAsia="Times New Roman" w:cs="Times New Roman"/>
          <w:b w:val="false"/>
          <w:bCs w:val="false"/>
          <w:i w:val="false"/>
          <w:iCs w:val="false"/>
          <w:sz w:val="24"/>
          <w:szCs w:val="24"/>
        </w:rPr>
        <w:t>El fenómeno de la transformación digital en pequeñas y medianas empresas ha sido objeto de una atención creciente en la literatura académica durante la última década. Fitzgerald et al. (2014) definen la transformación digital como el uso de tecnología para mejorar radicalmente el rendimiento o el alcance de una organización. Identifican, además, tres dimensiones de transformación: la mejora de la experiencia del cliente, la optimización de las operaciones internas y la transformación de los modelos de negocio. Las PyMEs, en particular, enfrentan un desafío específico en este proceso: la escasez de recursos técnicos internos y presupuestarios las obliga a buscar soluciones de alto impacto con bajo costo de implementación y mantenimiento.</w:t>
      </w:r>
    </w:p>
    <w:p>
      <w:pPr>
        <w:pStyle w:val="normal1"/>
        <w:spacing w:lineRule="auto" w:line="420" w:before="0" w:after="0"/>
        <w:ind w:firstLine="709"/>
        <w:jc w:val="both"/>
        <w:rPr/>
      </w:pPr>
      <w:r>
        <w:rPr>
          <w:rFonts w:eastAsia="Times New Roman" w:cs="Times New Roman"/>
          <w:b w:val="false"/>
          <w:bCs w:val="false"/>
          <w:i w:val="false"/>
          <w:iCs w:val="false"/>
          <w:sz w:val="24"/>
          <w:szCs w:val="24"/>
        </w:rPr>
        <w:t>Verhoef et al. (2021) proponen un marco multidisciplinario para analizar la transformación digital que distingue entre las dimensiones tecnológica, de datos, de procesos y organizacional. Su revisión sistemática de la literatura identifica que los proyectos de transformación digital que mayor retorno generan en PyMEs son aquellos que combinan la digitalización de los puntos de contacto con el cliente con la automatización de los procesos internos de back-office. Esto ocurre porque estas dos dimensiones se refuerzan mutuamente: la digitalización genera datos estructurados que la automatización puede procesar, y la automatización reduce la carga operativa que de otro modo inhibiría la adopción de las herramientas digitales de cara al cliente. Esta conclusión es corroborada por revisiones sistemáticas más recientes: Ben Slimane et al. (2022) identifican tres dimensiones gerenciales interdependientes —tecnológica, organizacional y estratégica— que las PyMEs deben abordar conjuntamente para que la transformación digital tenga éxito. Sagala y Őri (2024), en una revisión sistemática centrada específicamente en factores de éxito de la digitalización de PyMEs, concluyen por su parte que las organizaciones con recursos limitados obtienen mejores resultados adoptando una digitalización incremental y alineada a su línea de base tecnológica real, en lugar de una transformación integral de una sola vez — un principio directamente aplicable al enfoque de sprints incrementales adoptado en este proyecto (sección 3.3).</w:t>
      </w:r>
    </w:p>
    <w:p>
      <w:pPr>
        <w:pStyle w:val="normal1"/>
        <w:spacing w:lineRule="auto" w:line="420" w:before="0" w:after="0"/>
        <w:ind w:firstLine="709"/>
        <w:jc w:val="both"/>
        <w:rPr/>
      </w:pPr>
      <w:r>
        <w:rPr>
          <w:rFonts w:eastAsia="Times New Roman" w:cs="Times New Roman"/>
          <w:b w:val="false"/>
          <w:bCs w:val="false"/>
          <w:i w:val="false"/>
          <w:iCs w:val="false"/>
          <w:sz w:val="24"/>
          <w:szCs w:val="24"/>
        </w:rPr>
        <w:t>En el contexto latinoamericano, Pozo-Benites et al. (2025) documentan, en un estudio comparativo de once países de la región, que más del 70 % de las PyMEs latinoamericanas operan con niveles bajos de madurez digital. Presentan patrones de adopción tecnológica discontinuos, caracterizados por la presencia de herramientas digitales aisladas —redes sociales, correo electrónico, sitios web estáticos— sin integración entre sí ni estrategia digital cohesionada. Este patrón es precisamente el que caracteriza la situación preexistente de Golden Harvest S.A. y el que el ecosistema propuesto en este trabajo busca resolver mediante la integración de los canales digitales bajo una capa de orquestación centralizada.</w:t>
      </w:r>
    </w:p>
    <w:p>
      <w:pPr>
        <w:pStyle w:val="normal1"/>
        <w:spacing w:lineRule="auto" w:line="420" w:before="0" w:after="0"/>
        <w:ind w:firstLine="709"/>
        <w:jc w:val="both"/>
        <w:rPr/>
      </w:pPr>
      <w:r>
        <w:rPr>
          <w:rFonts w:eastAsia="Times New Roman" w:cs="Times New Roman"/>
          <w:b w:val="false"/>
          <w:bCs w:val="false"/>
          <w:i w:val="false"/>
          <w:iCs w:val="false"/>
          <w:sz w:val="24"/>
          <w:szCs w:val="24"/>
        </w:rPr>
        <w:t>La selección de tecnologías de código abierto y autoalojadas como n8n para la implementación de la capa de automatización responde a la necesidad de preservar el control organizacional sobre los datos y los flujos de trabajo críticos. Las plataformas de automatización en modalidad SaaS propietario imponen dependencias de precio y condiciones de servicio susceptibles de modificarse de manera unilateral. Esto genera riesgos operativos que las organizaciones de recursos limitados no siempre pueden absorber. Esta consideración es especialmente relevante en contextos donde la continuidad de los procesos críticos de negocio depende de la disponibilidad de un servicio externo fuera del control de la propia organización (Verhoef et al., 2021).</w:t>
      </w:r>
    </w:p>
    <w:p>
      <w:pPr>
        <w:pStyle w:val="Heading2"/>
        <w:spacing w:lineRule="auto" w:line="420" w:before="280" w:after="80"/>
        <w:jc w:val="start"/>
        <w:rPr/>
      </w:pPr>
      <w:bookmarkStart w:id="13" w:name="__RefHeading___Toc2020_910930204"/>
      <w:bookmarkEnd w:id="13"/>
      <w:r>
        <w:rPr>
          <w:rFonts w:eastAsia="Times New Roman" w:cs="Times New Roman" w:ascii="Times New Roman" w:hAnsi="Times New Roman"/>
          <w:b/>
          <w:bCs/>
          <w:i w:val="false"/>
          <w:iCs w:val="false"/>
          <w:sz w:val="26"/>
          <w:szCs w:val="26"/>
        </w:rPr>
        <w:t>2.3 Automatización Modular de Procesos de Negocio (BPA)</w:t>
      </w:r>
    </w:p>
    <w:p>
      <w:pPr>
        <w:pStyle w:val="normal1"/>
        <w:spacing w:lineRule="auto" w:line="420" w:before="0" w:after="0"/>
        <w:ind w:firstLine="709"/>
        <w:jc w:val="both"/>
        <w:rPr/>
      </w:pPr>
      <w:r>
        <w:rPr>
          <w:rFonts w:eastAsia="Times New Roman" w:cs="Times New Roman"/>
          <w:b w:val="false"/>
          <w:bCs w:val="false"/>
          <w:i w:val="false"/>
          <w:iCs w:val="false"/>
          <w:sz w:val="24"/>
          <w:szCs w:val="24"/>
        </w:rPr>
        <w:t>La Automatización de Procesos de Negocio (del inglés Business Process Automation, BPA) es un campo interdisciplinario que converge herramientas de tecnología de la información, ingeniería de procesos y gestión organizacional. Su propósito es reemplazar o complementar la intervención humana en la ejecución de tareas rutinarias, repetitivas y bien definidas (Moreira et al., 2024). La BPA no debe confundirse con la Automatización Robótica de Procesos (RPA), que se concentra en la emulación de interacciones de usuario en interfaces de software existentes. Tampoco debe confundirse con la Gestión de Procesos de Negocio (BPM), disciplina de mayor amplitud orientada al modelado, análisis y mejora continua de los procesos organizacionales.</w:t>
      </w:r>
    </w:p>
    <w:p>
      <w:pPr>
        <w:pStyle w:val="normal1"/>
        <w:spacing w:lineRule="auto" w:line="420" w:before="0" w:after="0"/>
        <w:ind w:firstLine="709"/>
        <w:jc w:val="both"/>
        <w:rPr/>
      </w:pPr>
      <w:r>
        <w:rPr>
          <w:rFonts w:eastAsia="Times New Roman" w:cs="Times New Roman"/>
          <w:b w:val="false"/>
          <w:bCs w:val="false"/>
          <w:i w:val="false"/>
          <w:iCs w:val="false"/>
          <w:sz w:val="24"/>
          <w:szCs w:val="24"/>
        </w:rPr>
        <w:t>En su concepción más contemporánea, la BPA se orienta a la orquestación de flujos de trabajo end-to-end que integran múltiples aplicaciones, APIs y fuentes de datos en procesos coherentes y automatizados. Las plataformas de automatización de bajo código (Low-Code Automation Platforms) han emergido como el paradigma dominante para la implementación ágil de flujos de BPA en organizaciones que requieren velocidad de despliegue y flexibilidad (Accenture, 2023). n8n es una de las plataformas líderes en este segmento. Se distingue del resto del ecosistema por cuatro rasgos: un modelo de licenciamiento de código abierto que permite el autoalojamiento sin restricciones; una interfaz visual de programación basada en nodos; un extenso catálogo de integraciones nativas con servicios externos; y la posibilidad de extender su funcionalidad mediante nodos de código JavaScript o Python para lógica personalizada (n8n GmbH, 2024). Sahay et al. (2023) analizan comparativamente ocho plataformas de bajo código y documentan que la mayoría ofrece soporte limitado para patrones de modelado de procesos complejos. Esa limitación no aplica a n8n en el alcance de este proyecto, dado que sus siete/ocho flujos son mayormente lineales o con bifurcaciones simples. Shi et al. (2025) señalan, en cambio, que la principal barrera de adopción de plataformas low-code en organizaciones pequeñas no es técnica sino de gobernanza del conocimiento. La pregunta de fondo es quién mantiene los flujos una vez que el equipo de desarrollo original ya no está disponible. Es una limitación identificada también en este trabajo (sección 6.3). Sobre n8n específicamente, Venkiteela (2025) documenta su arquitectura de integración empresarial y de orquestación asistida por IA. Amir y Atif (2026), en un caso de estudio de una pequeña empresa, reportan mejoras de eficiencia operativa comparables en orden de magnitud a las medidas en el Capítulo 5 de este trabajo al automatizar procesos manuales previamente ejecutados por personal administrativo.</w:t>
      </w:r>
    </w:p>
    <w:p>
      <w:pPr>
        <w:pStyle w:val="normal1"/>
        <w:rPr/>
      </w:pPr>
      <w:r>
        <w:rPr/>
        <w:t>La Tabla 1 sistematiza la comparación entre n8n y sus principales alternativas de automatización de bajo código, sobre los criterios de licenciamiento, capacidad de autoalojamiento, modelo de costos y curva de aprendizaje. Es información pública de cada proveedor, verificada en 2026 y consistente con el análisis comparativo de ocho plataformas de Sahay et al. (2023).</w:t>
      </w:r>
    </w:p>
    <w:p>
      <w:pPr>
        <w:pStyle w:val="TablaCaptionIDX"/>
        <w:jc w:val="center"/>
        <w:rPr/>
      </w:pPr>
      <w:r>
        <w:rPr/>
        <w:t>Tabla 1: Comparación de n8n con plataformas alternativas de automatización</w:t>
      </w:r>
    </w:p>
    <w:tbl>
      <w:tblPr>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32"/>
        <w:gridCol w:w="2232"/>
        <w:gridCol w:w="1509"/>
        <w:gridCol w:w="1587"/>
        <w:gridCol w:w="1224"/>
      </w:tblGrid>
      <w:tr>
        <w:trPr/>
        <w:tc>
          <w:tcPr>
            <w:tcW w:w="2232" w:type="dxa"/>
            <w:tcBorders/>
          </w:tcPr>
          <w:p>
            <w:pPr>
              <w:pStyle w:val="normal1"/>
              <w:rPr/>
            </w:pPr>
            <w:r>
              <w:rPr/>
              <w:t>Plataforma</w:t>
            </w:r>
          </w:p>
        </w:tc>
        <w:tc>
          <w:tcPr>
            <w:tcW w:w="2232" w:type="dxa"/>
            <w:tcBorders/>
          </w:tcPr>
          <w:p>
            <w:pPr>
              <w:pStyle w:val="normal1"/>
              <w:rPr/>
            </w:pPr>
            <w:r>
              <w:rPr/>
              <w:t>Licencia</w:t>
            </w:r>
          </w:p>
        </w:tc>
        <w:tc>
          <w:tcPr>
            <w:tcW w:w="1509" w:type="dxa"/>
            <w:tcBorders/>
          </w:tcPr>
          <w:p>
            <w:pPr>
              <w:pStyle w:val="normal1"/>
              <w:rPr/>
            </w:pPr>
            <w:r>
              <w:rPr/>
              <w:t>Autoalojable</w:t>
            </w:r>
          </w:p>
        </w:tc>
        <w:tc>
          <w:tcPr>
            <w:tcW w:w="1587" w:type="dxa"/>
            <w:tcBorders/>
          </w:tcPr>
          <w:p>
            <w:pPr>
              <w:pStyle w:val="normal1"/>
              <w:rPr/>
            </w:pPr>
            <w:r>
              <w:rPr/>
              <w:t>Costo</w:t>
            </w:r>
          </w:p>
        </w:tc>
        <w:tc>
          <w:tcPr>
            <w:tcW w:w="1224" w:type="dxa"/>
            <w:tcBorders/>
          </w:tcPr>
          <w:p>
            <w:pPr>
              <w:pStyle w:val="normal1"/>
              <w:rPr/>
            </w:pPr>
            <w:r>
              <w:rPr/>
              <w:t>Aprendizaje</w:t>
            </w:r>
          </w:p>
        </w:tc>
      </w:tr>
      <w:tr>
        <w:trPr/>
        <w:tc>
          <w:tcPr>
            <w:tcW w:w="2232" w:type="dxa"/>
            <w:tcBorders/>
          </w:tcPr>
          <w:p>
            <w:pPr>
              <w:pStyle w:val="normal1"/>
              <w:rPr/>
            </w:pPr>
            <w:r>
              <w:rPr/>
              <w:t>n8n</w:t>
            </w:r>
          </w:p>
        </w:tc>
        <w:tc>
          <w:tcPr>
            <w:tcW w:w="2232" w:type="dxa"/>
            <w:tcBorders/>
          </w:tcPr>
          <w:p>
            <w:pPr>
              <w:pStyle w:val="normal1"/>
              <w:rPr/>
            </w:pPr>
            <w:r>
              <w:rPr/>
              <w:t>Código abierto*</w:t>
            </w:r>
          </w:p>
        </w:tc>
        <w:tc>
          <w:tcPr>
            <w:tcW w:w="1509" w:type="dxa"/>
            <w:tcBorders/>
          </w:tcPr>
          <w:p>
            <w:pPr>
              <w:pStyle w:val="normal1"/>
              <w:rPr/>
            </w:pPr>
            <w:r>
              <w:rPr/>
              <w:t>Sí</w:t>
            </w:r>
          </w:p>
        </w:tc>
        <w:tc>
          <w:tcPr>
            <w:tcW w:w="1587" w:type="dxa"/>
            <w:tcBorders/>
          </w:tcPr>
          <w:p>
            <w:pPr>
              <w:pStyle w:val="normal1"/>
              <w:rPr/>
            </w:pPr>
            <w:r>
              <w:rPr/>
              <w:t>Gratis (self-hosted)</w:t>
            </w:r>
          </w:p>
        </w:tc>
        <w:tc>
          <w:tcPr>
            <w:tcW w:w="1224" w:type="dxa"/>
            <w:tcBorders/>
          </w:tcPr>
          <w:p>
            <w:pPr>
              <w:pStyle w:val="normal1"/>
              <w:rPr/>
            </w:pPr>
            <w:r>
              <w:rPr/>
              <w:t>Media</w:t>
            </w:r>
          </w:p>
        </w:tc>
      </w:tr>
      <w:tr>
        <w:trPr/>
        <w:tc>
          <w:tcPr>
            <w:tcW w:w="2232" w:type="dxa"/>
            <w:tcBorders/>
          </w:tcPr>
          <w:p>
            <w:pPr>
              <w:pStyle w:val="normal1"/>
              <w:rPr/>
            </w:pPr>
            <w:r>
              <w:rPr/>
              <w:t>Zapier</w:t>
            </w:r>
          </w:p>
        </w:tc>
        <w:tc>
          <w:tcPr>
            <w:tcW w:w="2232" w:type="dxa"/>
            <w:tcBorders/>
          </w:tcPr>
          <w:p>
            <w:pPr>
              <w:pStyle w:val="normal1"/>
              <w:rPr/>
            </w:pPr>
            <w:r>
              <w:rPr/>
              <w:t>Propietario</w:t>
            </w:r>
          </w:p>
        </w:tc>
        <w:tc>
          <w:tcPr>
            <w:tcW w:w="1509" w:type="dxa"/>
            <w:tcBorders/>
          </w:tcPr>
          <w:p>
            <w:pPr>
              <w:pStyle w:val="normal1"/>
              <w:rPr/>
            </w:pPr>
            <w:r>
              <w:rPr/>
              <w:t>No</w:t>
            </w:r>
          </w:p>
        </w:tc>
        <w:tc>
          <w:tcPr>
            <w:tcW w:w="1587" w:type="dxa"/>
            <w:tcBorders/>
          </w:tcPr>
          <w:p>
            <w:pPr>
              <w:pStyle w:val="normal1"/>
              <w:rPr/>
            </w:pPr>
            <w:r>
              <w:rPr/>
              <w:t>Desde USD 20/mes</w:t>
            </w:r>
          </w:p>
        </w:tc>
        <w:tc>
          <w:tcPr>
            <w:tcW w:w="1224" w:type="dxa"/>
            <w:tcBorders/>
          </w:tcPr>
          <w:p>
            <w:pPr>
              <w:pStyle w:val="normal1"/>
              <w:rPr/>
            </w:pPr>
            <w:r>
              <w:rPr/>
              <w:t>Baja</w:t>
            </w:r>
          </w:p>
        </w:tc>
      </w:tr>
      <w:tr>
        <w:trPr/>
        <w:tc>
          <w:tcPr>
            <w:tcW w:w="2232" w:type="dxa"/>
            <w:tcBorders/>
          </w:tcPr>
          <w:p>
            <w:pPr>
              <w:pStyle w:val="normal1"/>
              <w:rPr/>
            </w:pPr>
            <w:r>
              <w:rPr/>
              <w:t>Make (Integromat)</w:t>
            </w:r>
          </w:p>
        </w:tc>
        <w:tc>
          <w:tcPr>
            <w:tcW w:w="2232" w:type="dxa"/>
            <w:tcBorders/>
          </w:tcPr>
          <w:p>
            <w:pPr>
              <w:pStyle w:val="normal1"/>
              <w:rPr/>
            </w:pPr>
            <w:r>
              <w:rPr/>
              <w:t>Propietario</w:t>
            </w:r>
          </w:p>
        </w:tc>
        <w:tc>
          <w:tcPr>
            <w:tcW w:w="1509" w:type="dxa"/>
            <w:tcBorders/>
          </w:tcPr>
          <w:p>
            <w:pPr>
              <w:pStyle w:val="normal1"/>
              <w:rPr/>
            </w:pPr>
            <w:r>
              <w:rPr/>
              <w:t>No</w:t>
            </w:r>
          </w:p>
        </w:tc>
        <w:tc>
          <w:tcPr>
            <w:tcW w:w="1587" w:type="dxa"/>
            <w:tcBorders/>
          </w:tcPr>
          <w:p>
            <w:pPr>
              <w:pStyle w:val="normal1"/>
              <w:rPr/>
            </w:pPr>
            <w:r>
              <w:rPr/>
              <w:t>Por operación</w:t>
            </w:r>
          </w:p>
        </w:tc>
        <w:tc>
          <w:tcPr>
            <w:tcW w:w="1224" w:type="dxa"/>
            <w:tcBorders/>
          </w:tcPr>
          <w:p>
            <w:pPr>
              <w:pStyle w:val="normal1"/>
              <w:rPr/>
            </w:pPr>
            <w:r>
              <w:rPr/>
              <w:t>Media</w:t>
            </w:r>
          </w:p>
        </w:tc>
      </w:tr>
      <w:tr>
        <w:trPr/>
        <w:tc>
          <w:tcPr>
            <w:tcW w:w="2232" w:type="dxa"/>
            <w:tcBorders/>
          </w:tcPr>
          <w:p>
            <w:pPr>
              <w:pStyle w:val="normal1"/>
              <w:rPr/>
            </w:pPr>
            <w:r>
              <w:rPr/>
              <w:t>Power Automate</w:t>
            </w:r>
          </w:p>
        </w:tc>
        <w:tc>
          <w:tcPr>
            <w:tcW w:w="2232" w:type="dxa"/>
            <w:tcBorders/>
          </w:tcPr>
          <w:p>
            <w:pPr>
              <w:pStyle w:val="normal1"/>
              <w:rPr/>
            </w:pPr>
            <w:r>
              <w:rPr/>
              <w:t>Propietario</w:t>
            </w:r>
          </w:p>
        </w:tc>
        <w:tc>
          <w:tcPr>
            <w:tcW w:w="1509" w:type="dxa"/>
            <w:tcBorders/>
          </w:tcPr>
          <w:p>
            <w:pPr>
              <w:pStyle w:val="normal1"/>
              <w:rPr/>
            </w:pPr>
            <w:r>
              <w:rPr/>
              <w:t>Parcial**</w:t>
            </w:r>
          </w:p>
        </w:tc>
        <w:tc>
          <w:tcPr>
            <w:tcW w:w="1587" w:type="dxa"/>
            <w:tcBorders/>
          </w:tcPr>
          <w:p>
            <w:pPr>
              <w:pStyle w:val="normal1"/>
              <w:rPr/>
            </w:pPr>
            <w:r>
              <w:rPr/>
              <w:t>Por flujo/usuario</w:t>
            </w:r>
          </w:p>
        </w:tc>
        <w:tc>
          <w:tcPr>
            <w:tcW w:w="1224" w:type="dxa"/>
            <w:tcBorders/>
          </w:tcPr>
          <w:p>
            <w:pPr>
              <w:pStyle w:val="normal1"/>
              <w:rPr/>
            </w:pPr>
            <w:r>
              <w:rPr/>
              <w:t>Media</w:t>
            </w:r>
          </w:p>
        </w:tc>
      </w:tr>
      <w:tr>
        <w:trPr/>
        <w:tc>
          <w:tcPr>
            <w:tcW w:w="2232" w:type="dxa"/>
            <w:tcBorders/>
          </w:tcPr>
          <w:p>
            <w:pPr>
              <w:pStyle w:val="normal1"/>
              <w:rPr/>
            </w:pPr>
            <w:r>
              <w:rPr/>
              <w:t>Node-RED</w:t>
            </w:r>
          </w:p>
        </w:tc>
        <w:tc>
          <w:tcPr>
            <w:tcW w:w="2232" w:type="dxa"/>
            <w:tcBorders/>
          </w:tcPr>
          <w:p>
            <w:pPr>
              <w:pStyle w:val="normal1"/>
              <w:rPr/>
            </w:pPr>
            <w:r>
              <w:rPr/>
              <w:t>Código abierto (Apache 2.0)</w:t>
            </w:r>
          </w:p>
        </w:tc>
        <w:tc>
          <w:tcPr>
            <w:tcW w:w="1509" w:type="dxa"/>
            <w:tcBorders/>
          </w:tcPr>
          <w:p>
            <w:pPr>
              <w:pStyle w:val="normal1"/>
              <w:rPr/>
            </w:pPr>
            <w:r>
              <w:rPr/>
              <w:t>Sí</w:t>
            </w:r>
          </w:p>
        </w:tc>
        <w:tc>
          <w:tcPr>
            <w:tcW w:w="1587" w:type="dxa"/>
            <w:tcBorders/>
          </w:tcPr>
          <w:p>
            <w:pPr>
              <w:pStyle w:val="normal1"/>
              <w:rPr/>
            </w:pPr>
            <w:r>
              <w:rPr/>
              <w:t>Gratis</w:t>
            </w:r>
          </w:p>
        </w:tc>
        <w:tc>
          <w:tcPr>
            <w:tcW w:w="1224" w:type="dxa"/>
            <w:tcBorders/>
          </w:tcPr>
          <w:p>
            <w:pPr>
              <w:pStyle w:val="normal1"/>
              <w:rPr/>
            </w:pPr>
            <w:r>
              <w:rPr/>
              <w:t>Media-alta</w:t>
            </w:r>
          </w:p>
        </w:tc>
      </w:tr>
      <w:tr>
        <w:trPr/>
        <w:tc>
          <w:tcPr>
            <w:tcW w:w="2232" w:type="dxa"/>
            <w:tcBorders/>
          </w:tcPr>
          <w:p>
            <w:pPr>
              <w:pStyle w:val="normal1"/>
              <w:rPr/>
            </w:pPr>
            <w:r>
              <w:rPr/>
              <w:t>Apache Airflow</w:t>
            </w:r>
          </w:p>
        </w:tc>
        <w:tc>
          <w:tcPr>
            <w:tcW w:w="2232" w:type="dxa"/>
            <w:tcBorders/>
          </w:tcPr>
          <w:p>
            <w:pPr>
              <w:pStyle w:val="normal1"/>
              <w:rPr/>
            </w:pPr>
            <w:r>
              <w:rPr/>
              <w:t>Código abierto (Apache 2.0)</w:t>
            </w:r>
          </w:p>
        </w:tc>
        <w:tc>
          <w:tcPr>
            <w:tcW w:w="1509" w:type="dxa"/>
            <w:tcBorders/>
          </w:tcPr>
          <w:p>
            <w:pPr>
              <w:pStyle w:val="normal1"/>
              <w:rPr/>
            </w:pPr>
            <w:r>
              <w:rPr/>
              <w:t>Sí</w:t>
            </w:r>
          </w:p>
        </w:tc>
        <w:tc>
          <w:tcPr>
            <w:tcW w:w="1587" w:type="dxa"/>
            <w:tcBorders/>
          </w:tcPr>
          <w:p>
            <w:pPr>
              <w:pStyle w:val="normal1"/>
              <w:rPr/>
            </w:pPr>
            <w:r>
              <w:rPr/>
              <w:t>Gratis</w:t>
            </w:r>
          </w:p>
        </w:tc>
        <w:tc>
          <w:tcPr>
            <w:tcW w:w="1224" w:type="dxa"/>
            <w:tcBorders/>
          </w:tcPr>
          <w:p>
            <w:pPr>
              <w:pStyle w:val="normal1"/>
              <w:rPr/>
            </w:pPr>
            <w:r>
              <w:rPr/>
              <w:t>Alta***</w:t>
            </w:r>
          </w:p>
        </w:tc>
      </w:tr>
    </w:tbl>
    <w:p>
      <w:pPr>
        <w:pStyle w:val="normal1"/>
        <w:rPr/>
      </w:pPr>
      <w:r>
        <w:rPr/>
        <w:t>Fuente: documentación oficial de cada proveedor (n8n GmbH, 2024; Sahay et al., 2023) y planes de precios publicados por Zapier, Make, Microsoft Power Automate, Node-RED (OpenJS Foundation) y Apache Software Foundation, consultados en 2026. n8n y Node-RED son las únicas opciones sin costo de licencia y con autoalojamiento sin restricciones. Entre ambas, n8n ofrece una curva de aprendizaje más accesible para un equipo sin especialización previa en programación, lo que fundamenta su elección para este proyecto. * n8n usa la licencia Sustainable Use / Fair-code (código abierto con restricciones de reventa como servicio competidor, sin restricción para autoalojamiento propio). ** Power Automate requiere un gateway de datos on-premises para conectar con recursos locales; su ejecución en la nube es SaaS puro. *** Apache Airflow está diseñado para pipelines de datos e ingeniería de datos, no específicamente para automatización de procesos de negocio. Se incluye como referencia de la categoría open-source de mayor curva de aprendizaje, no como alternativa directamente comparable en propósito.</w:t>
      </w:r>
    </w:p>
    <w:p>
      <w:pPr>
        <w:pStyle w:val="normal1"/>
        <w:spacing w:lineRule="auto" w:line="420" w:before="0" w:after="0"/>
        <w:ind w:firstLine="709"/>
        <w:jc w:val="both"/>
        <w:rPr/>
      </w:pPr>
      <w:r>
        <w:rPr>
          <w:rFonts w:eastAsia="Times New Roman" w:cs="Times New Roman"/>
          <w:b w:val="false"/>
          <w:bCs w:val="false"/>
          <w:i w:val="false"/>
          <w:iCs w:val="false"/>
          <w:sz w:val="24"/>
          <w:szCs w:val="24"/>
        </w:rPr>
        <w:t>El principio de modularidad es uno de los pilares conceptuales que guía el diseño de la arquitectura de automatización propuesta. En ingeniería de software, la modularidad se refiere a la estructuración de un sistema en componentes independientes con interfaces bien definidas y responsabilidades claramente delimitadas. De este modo, cada módulo puede ser desarrollado, probado, modificado y reemplazado sin afectar al resto del sistema. Trasladado al contexto de la automatización de flujos con n8n, este principio implica el diseño de flujos de trabajo granulares. Cada uno encapsula una responsabilidad funcional específica y se comunica con el resto del ecosistema mediante interfaces de evento (webhooks o llamadas a APIs internas), en lugar de implementar monolitos de automatización de difícil mantenimiento.</w:t>
      </w:r>
    </w:p>
    <w:p>
      <w:pPr>
        <w:pStyle w:val="normal1"/>
        <w:spacing w:lineRule="auto" w:line="420" w:before="0" w:after="0"/>
        <w:ind w:firstLine="709"/>
        <w:jc w:val="both"/>
        <w:rPr/>
      </w:pPr>
      <w:r>
        <w:rPr>
          <w:rFonts w:eastAsia="Times New Roman" w:cs="Times New Roman"/>
          <w:b w:val="false"/>
          <w:bCs w:val="false"/>
          <w:i w:val="false"/>
          <w:iCs w:val="false"/>
          <w:sz w:val="24"/>
          <w:szCs w:val="24"/>
        </w:rPr>
        <w:t>El concepto de desacoplamiento es complementario al de modularidad y resulta igualmente central en la arquitectura propuesta. Un sistema desacoplado es aquel en el que los componentes interactúan a través de contratos bien definidos —protocolos, formatos de datos, endpoints— sin que ninguno de ellos conozca ni dependa de los detalles de implementación interna de los demás. En la arquitectura de Golden Harvest S.A., este principio se concreta en la separación entre el frontend React y los flujos de n8n. El frontend es responsable de la experiencia del usuario y de la recolección de datos del lead; n8n es responsable de la lógica de procesamiento, notificación y distribución. Ambos se comunican exclusivamente a través de un webhook con un contrato de datos JSON claramente especificado.</w:t>
      </w:r>
    </w:p>
    <w:p>
      <w:pPr>
        <w:pStyle w:val="Heading2"/>
        <w:spacing w:lineRule="auto" w:line="420" w:before="280" w:after="80"/>
        <w:jc w:val="start"/>
        <w:rPr/>
      </w:pPr>
      <w:bookmarkStart w:id="14" w:name="__RefHeading___Toc2022_910930204"/>
      <w:bookmarkEnd w:id="14"/>
      <w:r>
        <w:rPr>
          <w:rFonts w:eastAsia="Times New Roman" w:cs="Times New Roman" w:ascii="Times New Roman" w:hAnsi="Times New Roman"/>
          <w:b/>
          <w:bCs/>
          <w:i w:val="false"/>
          <w:iCs w:val="false"/>
          <w:sz w:val="26"/>
          <w:szCs w:val="26"/>
        </w:rPr>
        <w:t>2.4 Marketing de Automatización y Omnicanalidad</w:t>
      </w:r>
    </w:p>
    <w:p>
      <w:pPr>
        <w:pStyle w:val="normal1"/>
        <w:spacing w:lineRule="auto" w:line="420" w:before="0" w:after="0"/>
        <w:ind w:firstLine="709"/>
        <w:jc w:val="both"/>
        <w:rPr/>
      </w:pPr>
      <w:r>
        <w:rPr>
          <w:rFonts w:eastAsia="Times New Roman" w:cs="Times New Roman"/>
          <w:b w:val="false"/>
          <w:bCs w:val="false"/>
          <w:i w:val="false"/>
          <w:iCs w:val="false"/>
          <w:sz w:val="24"/>
          <w:szCs w:val="24"/>
        </w:rPr>
        <w:t>El concepto de omnicanalidad hace referencia a la estrategia de gestión de la presencia y la comunicación de una marca a través de múltiples canales de manera simultánea, coherente e integrada (Kotler et al., 2021). A diferencia de la estrategia multicanal, que implica simplemente la presencia de la empresa en varias plataformas sin garantizar la coherencia entre ellas, la estrategia omnicanal exige que la experiencia del cliente sea consistente independientemente del canal a través del cual se produzca el punto de contacto. Rahman et al. (2025), en un estudio empírico con dos muestras de clientes omnicanal (n=312 y n=822), encuentran que el efecto positivo de la experiencia omnicanal sobre el compromiso del cliente no es uniforme: depende de la etapa de la relación cliente-empresa, siendo más determinante en las etapas tempranas del vínculo comercial. Es un hallazgo directamente relevante para el diseño del flujo de notificación inmediata al vendedor adoptado en este proyecto (sección 4.1), en el que el backend persiste la solicitud de cotización y dispara el aviso al equipo comercial en el mismo acto, buscando maximizar la velocidad de respuesta precisamente en el primer contacto del lead con la empresa.</w:t>
      </w:r>
    </w:p>
    <w:p>
      <w:pPr>
        <w:pStyle w:val="normal1"/>
        <w:spacing w:lineRule="auto" w:line="420" w:before="0" w:after="0"/>
        <w:ind w:firstLine="709"/>
        <w:jc w:val="both"/>
        <w:rPr/>
      </w:pPr>
      <w:r>
        <w:rPr>
          <w:rFonts w:eastAsia="Times New Roman" w:cs="Times New Roman"/>
          <w:b w:val="false"/>
          <w:bCs w:val="false"/>
          <w:i w:val="false"/>
          <w:iCs w:val="false"/>
          <w:sz w:val="24"/>
          <w:szCs w:val="24"/>
        </w:rPr>
        <w:t>Sostener una estrategia omnicanal manual es, para una organización de recursos limitados, un desafío estructural: las especificaciones de formato, dimensiones y frecuencia de cada plataforma superan la capacidad operativa de un equipo pequeño. La automatización con n8n resuelve esto desacoplando la creación del contenido de base de su adaptación y distribución multicanal. Un único evento —la actualización del catálogo— puede disparar la generación de imágenes para Stories, un post en Facebook, un mensaje por WhatsApp Business y la actualización del sitio.</w:t>
      </w:r>
    </w:p>
    <w:p>
      <w:pPr>
        <w:pStyle w:val="normal1"/>
        <w:spacing w:lineRule="auto" w:line="420" w:before="0" w:after="0"/>
        <w:ind w:firstLine="709"/>
        <w:jc w:val="both"/>
        <w:rPr/>
      </w:pPr>
      <w:r>
        <w:rPr>
          <w:rFonts w:eastAsia="Times New Roman" w:cs="Times New Roman"/>
          <w:b w:val="false"/>
          <w:bCs w:val="false"/>
          <w:i w:val="false"/>
          <w:iCs w:val="false"/>
          <w:sz w:val="24"/>
          <w:szCs w:val="24"/>
        </w:rPr>
        <w:t>En el ámbito de la gestión de la relación con el cliente, el concepto de Lead Nurturing describe el proceso sistemático de acompañar y cultivar el interés de un prospecto desde el momento de su primer contacto con la marca hasta la concreción de la venta (Kannan &amp; Li, 2017). La métrica de Customer Lifetime Value (LTV o CLV) resulta particularmente relevante en este contexto: la automatización del proceso de nurturing, al mejorar la calidad y la rapidez de la respuesta inicial, contribuye directamente a aumentar el LTV promedio de la base de clientes. La experiencia positiva del primer ciclo de compra incrementa significativamente la probabilidad de recompra y de recomendación a terceros (Chaffey &amp; Ellis-Chadwick, 2022).</w:t>
      </w:r>
    </w:p>
    <w:p>
      <w:pPr>
        <w:pStyle w:val="Heading2"/>
        <w:spacing w:lineRule="auto" w:line="420" w:before="280" w:after="80"/>
        <w:jc w:val="start"/>
        <w:rPr/>
      </w:pPr>
      <w:bookmarkStart w:id="15" w:name="__RefHeading___Toc2024_910930204"/>
      <w:bookmarkEnd w:id="15"/>
      <w:r>
        <w:rPr>
          <w:rFonts w:eastAsia="Times New Roman" w:cs="Times New Roman" w:ascii="Times New Roman" w:hAnsi="Times New Roman"/>
          <w:b/>
          <w:bCs/>
          <w:i w:val="false"/>
          <w:iCs w:val="false"/>
          <w:sz w:val="26"/>
          <w:szCs w:val="26"/>
        </w:rPr>
        <w:t>2.5 SEO, Performance y Experiencia de Usuario (UX)</w:t>
      </w:r>
    </w:p>
    <w:p>
      <w:pPr>
        <w:pStyle w:val="normal1"/>
        <w:spacing w:lineRule="auto" w:line="420" w:before="0" w:after="0"/>
        <w:ind w:firstLine="709"/>
        <w:jc w:val="both"/>
        <w:rPr/>
      </w:pPr>
      <w:r>
        <w:rPr>
          <w:rFonts w:eastAsia="Times New Roman" w:cs="Times New Roman"/>
          <w:b w:val="false"/>
          <w:bCs w:val="false"/>
          <w:i w:val="false"/>
          <w:iCs w:val="false"/>
          <w:sz w:val="24"/>
          <w:szCs w:val="24"/>
        </w:rPr>
        <w:t>El SEO (Search Engine Optimization) mejora la visibilidad de un sitio en los resultados orgánicos de búsqueda. Google —92 % del mercado global de búsqueda (StatCounter Global Stats, 2024b)— incorpora desde 2021 las señales Core Web Vitals para medir la experiencia de usuario en rendimiento técnico (Google Developers, 2024a): LCP (Largest Contentful Paint, tiempo hasta que el elemento más grande se vuelve visible), INP (Interaction to Next Paint, latencia de respuesta a interacciones) y CLS (Cumulative Layout Shift, estabilidad visual durante la carga).</w:t>
      </w:r>
    </w:p>
    <w:p>
      <w:pPr>
        <w:pStyle w:val="normal1"/>
        <w:spacing w:lineRule="auto" w:line="420" w:before="0" w:after="0"/>
        <w:ind w:firstLine="709"/>
        <w:jc w:val="both"/>
        <w:rPr/>
      </w:pPr>
      <w:r>
        <w:rPr>
          <w:rFonts w:eastAsia="Times New Roman" w:cs="Times New Roman"/>
          <w:b w:val="false"/>
          <w:bCs w:val="false"/>
          <w:i w:val="false"/>
          <w:iCs w:val="false"/>
          <w:sz w:val="24"/>
          <w:szCs w:val="24"/>
        </w:rPr>
        <w:t>Un sitio con Core Web Vitals deficientes no solo pierde posicionamiento: Google Developers (2024a) documenta que la probabilidad de abandono aumenta 32 % cuando el tiempo de carga pasa de 1 a 3 segundos, y 90 % cuando pasa de 1 a 5 segundos. Es una fricción con impacto directo en la tasa de conversión de un catálogo orientado a la captura de leads.</w:t>
      </w:r>
    </w:p>
    <w:p>
      <w:pPr>
        <w:pStyle w:val="normal1"/>
        <w:spacing w:lineRule="auto" w:line="420" w:before="0" w:after="0"/>
        <w:ind w:firstLine="709"/>
        <w:jc w:val="both"/>
        <w:rPr/>
      </w:pPr>
      <w:r>
        <w:rPr>
          <w:rFonts w:eastAsia="Times New Roman" w:cs="Times New Roman"/>
          <w:b w:val="false"/>
          <w:bCs w:val="false"/>
          <w:i w:val="false"/>
          <w:iCs w:val="false"/>
          <w:sz w:val="24"/>
          <w:szCs w:val="24"/>
        </w:rPr>
        <w:t>El diseño de la Experiencia de Usuario (UX) engloba el conjunto de decisiones de diseño que influyen en la calidad de la interacción entre el usuario y el sistema. Un diseño de UX efectivo reduce la fricción cognitiva en el proceso de navegación, guía al usuario de manera intuitiva hacia los puntos de conversión definidos y transmite de manera no verbal —a través de la jerarquía visual, la tipografía y la disposición de los elementos— los valores y el posicionamiento de la marca. En el diseño del catálogo de Golden Harvest S.A., las decisiones de UX se orientan específicamente a maximizar la probabilidad de que un visitante complete el proceso de construcción de su carrito y envíe su solicitud de cotización.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Las estadísticas globales de uso de internet muestran que más del 58 % del tráfico web mundial se origina en dispositivos móviles (StatCounter Global Stats, 2024a). Esto implica que un catálogo que no ofrezca una experiencia de primera clase en smartphones compromete a la mayoría de sus potenciales usuarios. Desde 2019, Google utiliza un modelo de indexado móvil-primero (Mobile-First Indexing), lo que significa que la versión móvil del sitio es la que determina el posicionamiento en los resultados de búsqueda (Google Developers, 2024a). El diseño del catálogo de Golden Harvest S.A. se aborda desde el paradigma Mobile-First —se diseña y optimiza primero para la pantalla de un teléfono inteligente y luego se adapta progresivamente para resoluciones mayores. Esto sigue las recomendaciones de Frost (2016) sobre diseño atómico y diseño responsivo.</w:t>
      </w:r>
    </w:p>
    <w:p>
      <w:pPr>
        <w:pStyle w:val="normal1"/>
        <w:spacing w:lineRule="auto" w:line="240" w:before="0" w:after="0"/>
        <w:rPr/>
      </w:pPr>
      <w:r>
        <w:rPr/>
      </w:r>
      <w:r>
        <w:br w:type="page"/>
      </w:r>
    </w:p>
    <w:p>
      <w:pPr>
        <w:pStyle w:val="Heading1"/>
        <w:spacing w:lineRule="auto" w:line="240" w:before="0" w:after="360"/>
        <w:jc w:val="center"/>
        <w:rPr/>
      </w:pPr>
      <w:bookmarkStart w:id="16" w:name="__RefHeading___Toc2026_910930204"/>
      <w:bookmarkEnd w:id="16"/>
      <w:r>
        <w:rPr>
          <w:rFonts w:eastAsia="Times New Roman" w:cs="Times New Roman" w:ascii="Times New Roman" w:hAnsi="Times New Roman"/>
          <w:b/>
          <w:bCs/>
          <w:i w:val="false"/>
          <w:iCs w:val="false"/>
          <w:sz w:val="28"/>
          <w:szCs w:val="28"/>
        </w:rPr>
        <w:t>CAPÍTULO 3: MARCO METODOLÓGICO</w:t>
      </w:r>
    </w:p>
    <w:p>
      <w:pPr>
        <w:pStyle w:val="normal1"/>
        <w:spacing w:lineRule="auto" w:line="420" w:before="0" w:after="0"/>
        <w:ind w:firstLine="709"/>
        <w:jc w:val="both"/>
        <w:rPr/>
      </w:pPr>
      <w:r>
        <w:rPr>
          <w:rFonts w:eastAsia="Times New Roman" w:cs="Times New Roman"/>
          <w:b w:val="false"/>
          <w:bCs w:val="false"/>
          <w:i w:val="false"/>
          <w:iCs w:val="false"/>
          <w:sz w:val="24"/>
          <w:szCs w:val="24"/>
        </w:rPr>
        <w:t>Este capítulo describe el diseño metodológico que orientó el desarrollo del proyecto, especificando el tipo y enfoque de la investigación, las variables operacionalizadas, las técnicas empleadas para el diagnóstico, las herramientas tecnológicas utilizadas, el proceso de validación de resultados y el cronograma de ejecución.</w:t>
      </w:r>
    </w:p>
    <w:p>
      <w:pPr>
        <w:pStyle w:val="Heading2"/>
        <w:spacing w:lineRule="auto" w:line="420" w:before="280" w:after="80"/>
        <w:jc w:val="start"/>
        <w:rPr/>
      </w:pPr>
      <w:bookmarkStart w:id="17" w:name="__RefHeading___Toc2028_910930204"/>
      <w:bookmarkEnd w:id="17"/>
      <w:r>
        <w:rPr>
          <w:rFonts w:eastAsia="Times New Roman" w:cs="Times New Roman" w:ascii="Times New Roman" w:hAnsi="Times New Roman"/>
          <w:b/>
          <w:bCs/>
          <w:i w:val="false"/>
          <w:iCs w:val="false"/>
          <w:sz w:val="26"/>
          <w:szCs w:val="26"/>
        </w:rPr>
        <w:t>3.1 Tipo de investigación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El presente trabajo se enmarca en la categoría de Investigación Aplicada y Desarrollo Tecnológico. La investigación básica busca generar conocimiento teórico sin aplicación práctica inmediata. La investigación aplicada, en cambio, parte de un problema concreto y orientado a la práctica, para diseñar, implementar y evaluar una solución tecnológica que lo resuelva de manera efectiva (Hernández Sampieri et al., 2014). En este caso, el problema está claramente delimitado: la brecha digital y la ineficiencia operativa de Golden Harvest S.A. La solución propuesta —el ecosistema digital basado en React y n8n— es de naturaleza técnica y evaluable en términos de su funcionalidad y su impacto en los indicadores de desempeño de la organización.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La componente de Desarrollo Tecnológico se manifiesta en la producción de artefactos de software funcionales que constituyen el resultado tangible del trabajo: la aplicación web del catálogo interactivo, la infraestructura de n8n desplegada en contenedores Docker y los flujos de automatización modular. Estos artefactos no son simplemente la ilustración de una hipótesis teórica, sino soluciones operacionales con valor de uso directo para la organización objeto de estudio.</w:t>
      </w:r>
    </w:p>
    <w:p>
      <w:pPr>
        <w:pStyle w:val="normal1"/>
        <w:spacing w:lineRule="auto" w:line="420" w:before="0" w:after="0"/>
        <w:ind w:firstLine="709"/>
        <w:jc w:val="both"/>
        <w:rPr/>
      </w:pPr>
      <w:r>
        <w:rPr>
          <w:rFonts w:eastAsia="Times New Roman" w:cs="Times New Roman"/>
          <w:b w:val="false"/>
          <w:bCs w:val="false"/>
          <w:i w:val="false"/>
          <w:iCs w:val="false"/>
          <w:sz w:val="24"/>
          <w:szCs w:val="24"/>
        </w:rPr>
        <w:t>El trabajo adopta adicionalmente un diseño de estudio de caso único (Yin, 2018): se concentra en el análisis en profundidad de una organización específica, Golden Harvest S.A. Sus características, si bien particulares, son representativas de un conjunto amplio de organizaciones que enfrentan desafíos similares de transformación digital. El carácter representativo del caso seleccionado fundamenta la transferibilidad analítica de las conclusiones obtenidas, aunque no su generalización estadística.</w:t>
      </w:r>
    </w:p>
    <w:p>
      <w:pPr>
        <w:pStyle w:val="normal1"/>
        <w:spacing w:lineRule="auto" w:line="420" w:before="0" w:after="0"/>
        <w:ind w:firstLine="709"/>
        <w:jc w:val="both"/>
        <w:rPr/>
      </w:pPr>
      <w:r>
        <w:rPr>
          <w:rFonts w:eastAsia="Times New Roman" w:cs="Times New Roman"/>
          <w:b w:val="false"/>
          <w:bCs w:val="false"/>
          <w:i w:val="false"/>
          <w:iCs w:val="false"/>
          <w:sz w:val="24"/>
          <w:szCs w:val="24"/>
        </w:rPr>
        <w:t>El diseño de la investigación es no experimental con orientación descriptivo-propositiva. Es descriptiva en tanto caracteriza el estado actual de la infraestructura digital de la empresa y los procesos manuales que se busca automatizar. Es propositiva en tanto diseña e implementa un ecosistema de soluciones que responde a los déficits identificados durante el diagnóstico.</w:t>
      </w:r>
    </w:p>
    <w:p>
      <w:pPr>
        <w:pStyle w:val="Heading2"/>
        <w:spacing w:lineRule="auto" w:line="420" w:before="280" w:after="80"/>
        <w:jc w:val="start"/>
        <w:rPr/>
      </w:pPr>
      <w:bookmarkStart w:id="18" w:name="__RefHeading___Toc2030_910930204"/>
      <w:bookmarkEnd w:id="18"/>
      <w:r>
        <w:rPr>
          <w:rFonts w:eastAsia="Times New Roman" w:cs="Times New Roman" w:ascii="Times New Roman" w:hAnsi="Times New Roman"/>
          <w:b/>
          <w:bCs/>
          <w:i w:val="false"/>
          <w:iCs w:val="false"/>
          <w:sz w:val="26"/>
          <w:szCs w:val="26"/>
        </w:rPr>
        <w:t>3.2 Variables de la investigación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Para la operacionalización de la hipótesis enunciada en la sección 1.4, se definen las siguientes variables:</w:t>
      </w:r>
    </w:p>
    <w:p>
      <w:pPr>
        <w:pStyle w:val="normal1"/>
        <w:spacing w:lineRule="auto" w:line="420" w:before="0" w:after="0"/>
        <w:ind w:firstLine="709"/>
        <w:jc w:val="both"/>
        <w:rPr/>
      </w:pPr>
      <w:r>
        <w:rPr>
          <w:rFonts w:eastAsia="Times New Roman" w:cs="Times New Roman"/>
          <w:b w:val="false"/>
          <w:bCs w:val="false"/>
          <w:i w:val="false"/>
          <w:iCs w:val="false"/>
          <w:sz w:val="24"/>
          <w:szCs w:val="24"/>
        </w:rPr>
        <w:t>Variable independiente (VI):</w:t>
      </w:r>
    </w:p>
    <w:p>
      <w:pPr>
        <w:pStyle w:val="normal1"/>
        <w:spacing w:lineRule="auto" w:line="420" w:before="0" w:after="0"/>
        <w:ind w:firstLine="709"/>
        <w:jc w:val="both"/>
        <w:rPr/>
      </w:pPr>
      <w:r>
        <w:rPr>
          <w:rFonts w:eastAsia="Times New Roman" w:cs="Times New Roman"/>
          <w:b w:val="false"/>
          <w:bCs w:val="false"/>
          <w:i w:val="false"/>
          <w:iCs w:val="false"/>
          <w:sz w:val="24"/>
          <w:szCs w:val="24"/>
        </w:rPr>
        <w:t>El ecosistema digital implementado, definido como el conjunto formado por: (a) la aplicación web SPA desarrollada en React/Vite con funcionalidad de catálogo interactivo y generación de solicitudes de cotización; y (b) la instancia de n8n con los ocho workflows de automatización de procesos de negocio descritos en §4.3.</w:t>
      </w:r>
    </w:p>
    <w:p>
      <w:pPr>
        <w:pStyle w:val="normal1"/>
        <w:spacing w:lineRule="auto" w:line="420" w:before="0" w:after="0"/>
        <w:ind w:firstLine="709"/>
        <w:jc w:val="both"/>
        <w:rPr/>
      </w:pPr>
      <w:r>
        <w:rPr>
          <w:rFonts w:eastAsia="Times New Roman" w:cs="Times New Roman"/>
          <w:b w:val="false"/>
          <w:bCs w:val="false"/>
          <w:i w:val="false"/>
          <w:iCs w:val="false"/>
          <w:sz w:val="24"/>
          <w:szCs w:val="24"/>
        </w:rPr>
        <w:t>Variable dependiente 1 — Rendimiento técnico del sitio web (VD1):</w:t>
      </w:r>
    </w:p>
    <w:p>
      <w:pPr>
        <w:pStyle w:val="normal1"/>
        <w:spacing w:lineRule="auto" w:line="420" w:before="0" w:after="0"/>
        <w:ind w:firstLine="709"/>
        <w:jc w:val="both"/>
        <w:rPr/>
      </w:pPr>
      <w:r>
        <w:rPr>
          <w:rFonts w:eastAsia="Times New Roman" w:cs="Times New Roman"/>
          <w:b w:val="false"/>
          <w:bCs w:val="false"/>
          <w:i w:val="false"/>
          <w:iCs w:val="false"/>
          <w:sz w:val="24"/>
          <w:szCs w:val="24"/>
        </w:rPr>
        <w:t>Operacionalizada como la puntuación obtenida en Google Lighthouse en las dimensiones Performance, Accessibility, Best Practices y SEO, para las versiones móvil y de escritorio, en el entorno de staging.</w:t>
      </w:r>
    </w:p>
    <w:p>
      <w:pPr>
        <w:pStyle w:val="normal1"/>
        <w:spacing w:lineRule="auto" w:line="420" w:before="0" w:after="0"/>
        <w:ind w:firstLine="709"/>
        <w:jc w:val="both"/>
        <w:rPr/>
      </w:pPr>
      <w:r>
        <w:rPr>
          <w:rFonts w:eastAsia="Times New Roman" w:cs="Times New Roman"/>
          <w:b w:val="false"/>
          <w:bCs w:val="false"/>
          <w:i w:val="false"/>
          <w:iCs w:val="false"/>
          <w:sz w:val="24"/>
          <w:szCs w:val="24"/>
        </w:rPr>
        <w:t>Variable dependiente 2 — Eficiencia operativa del proceso de leads (VD2):</w:t>
      </w:r>
    </w:p>
    <w:p>
      <w:pPr>
        <w:pStyle w:val="normal1"/>
        <w:spacing w:lineRule="auto" w:line="420" w:before="0" w:after="0"/>
        <w:ind w:firstLine="709"/>
        <w:jc w:val="both"/>
        <w:rPr/>
      </w:pPr>
      <w:r>
        <w:rPr>
          <w:rFonts w:eastAsia="Times New Roman" w:cs="Times New Roman"/>
          <w:b w:val="false"/>
          <w:bCs w:val="false"/>
          <w:i w:val="false"/>
          <w:iCs w:val="false"/>
          <w:sz w:val="24"/>
          <w:szCs w:val="24"/>
        </w:rPr>
        <w:t>Operacionalizada como el tiempo promedio transcurrido (en segundos) entre la recepción del webhook con la solicitud de cotización y la entrega de las notificaciones al equipo de ventas y al cliente. Criterio de aceptación fijado en esta fase de diseño: tiempo promedio igual o inferior a 15 segundos. Este criterio no pudo verificarse en la etapa de validación reportada en el Capítulo 5: como se declara en §5.2.1, no se dispone de instrumentación de latencia sobre el circuito automatizado ni de una línea de base cronometrada del proceso manual equivalente. Por esta razón, la dimensión queda evaluada en términos funcionales y no frente al umbral cuantitativo aquí definido.</w:t>
      </w:r>
    </w:p>
    <w:p>
      <w:pPr>
        <w:pStyle w:val="normal1"/>
        <w:spacing w:lineRule="auto" w:line="420" w:before="0" w:after="0"/>
        <w:ind w:firstLine="709"/>
        <w:jc w:val="both"/>
        <w:rPr/>
      </w:pPr>
      <w:r>
        <w:rPr>
          <w:rFonts w:eastAsia="Times New Roman" w:cs="Times New Roman"/>
          <w:b w:val="false"/>
          <w:bCs w:val="false"/>
          <w:i w:val="false"/>
          <w:iCs w:val="false"/>
          <w:sz w:val="24"/>
          <w:szCs w:val="24"/>
        </w:rPr>
        <w:t>Variable dependiente 3 — Eficiencia operativa del proceso logístico (VD3):</w:t>
      </w:r>
    </w:p>
    <w:p>
      <w:pPr>
        <w:pStyle w:val="normal1"/>
        <w:spacing w:lineRule="auto" w:line="420" w:before="0" w:after="0"/>
        <w:ind w:firstLine="709"/>
        <w:jc w:val="both"/>
        <w:rPr/>
      </w:pPr>
      <w:r>
        <w:rPr>
          <w:rFonts w:eastAsia="Times New Roman" w:cs="Times New Roman"/>
          <w:b w:val="false"/>
          <w:bCs w:val="false"/>
          <w:i w:val="false"/>
          <w:iCs w:val="false"/>
          <w:sz w:val="24"/>
          <w:szCs w:val="24"/>
        </w:rPr>
        <w:t>Operacionalizada como el tiempo promedio de generación y entrega de la documentación logística completa (remito + etiquetas) por pedido, medido en segundos desde la activación del flujo hasta la recepción del correo electrónico con los archivos adjuntos.</w:t>
      </w:r>
    </w:p>
    <w:p>
      <w:pPr>
        <w:pStyle w:val="normal1"/>
        <w:spacing w:lineRule="auto" w:line="420" w:before="0" w:after="0"/>
        <w:ind w:firstLine="709"/>
        <w:jc w:val="both"/>
        <w:rPr/>
      </w:pPr>
      <w:r>
        <w:rPr>
          <w:rFonts w:eastAsia="Times New Roman" w:cs="Times New Roman"/>
          <w:b w:val="false"/>
          <w:bCs w:val="false"/>
          <w:i w:val="false"/>
          <w:iCs w:val="false"/>
          <w:sz w:val="24"/>
          <w:szCs w:val="24"/>
        </w:rPr>
        <w:t>Variable dependiente 4 — Usabilidad del catálogo (VD4):</w:t>
      </w:r>
    </w:p>
    <w:p>
      <w:pPr>
        <w:pStyle w:val="normal1"/>
        <w:spacing w:lineRule="auto" w:line="420" w:before="0" w:after="0"/>
        <w:ind w:firstLine="709"/>
        <w:jc w:val="both"/>
        <w:rPr/>
      </w:pPr>
      <w:r>
        <w:rPr>
          <w:rFonts w:eastAsia="Times New Roman" w:cs="Times New Roman"/>
          <w:b w:val="false"/>
          <w:bCs w:val="false"/>
          <w:i w:val="false"/>
          <w:iCs w:val="false"/>
          <w:sz w:val="24"/>
          <w:szCs w:val="24"/>
        </w:rPr>
        <w:t>Operacionalizada como: (a) tasa de completitud de la tarea de solicitud de cotización (porcentaje de participantes que completan el flujo sin asistencia externa); y (b) calificación de facilidad de uso en una escala Likert de 5 puntos. Esta variable no fue evaluada empíricamente en el presente trabajo: no se condujo ninguna prueba de usabilidad con usuarios reales, por restricciones de tiempo del proyecto. Queda definida aquí como diseño de instrumento para un estudio futuro (véase §6.4).</w:t>
      </w:r>
    </w:p>
    <w:p>
      <w:pPr>
        <w:pStyle w:val="normal1"/>
        <w:spacing w:lineRule="auto" w:line="420" w:before="0" w:after="0"/>
        <w:ind w:firstLine="709"/>
        <w:jc w:val="both"/>
        <w:rPr/>
      </w:pPr>
      <w:r>
        <w:rPr>
          <w:rFonts w:eastAsia="Times New Roman" w:cs="Times New Roman"/>
          <w:b w:val="false"/>
          <w:bCs w:val="false"/>
          <w:i w:val="false"/>
          <w:iCs w:val="false"/>
          <w:sz w:val="24"/>
          <w:szCs w:val="24"/>
        </w:rPr>
        <w:t>Variables de control:</w:t>
      </w:r>
    </w:p>
    <w:p>
      <w:pPr>
        <w:pStyle w:val="normal1"/>
        <w:spacing w:lineRule="auto" w:line="420" w:before="0" w:after="0"/>
        <w:ind w:firstLine="709"/>
        <w:jc w:val="both"/>
        <w:rPr/>
      </w:pPr>
      <w:r>
        <w:rPr>
          <w:rFonts w:eastAsia="Times New Roman" w:cs="Times New Roman"/>
          <w:b w:val="false"/>
          <w:bCs w:val="false"/>
          <w:i w:val="false"/>
          <w:iCs w:val="false"/>
          <w:sz w:val="24"/>
          <w:szCs w:val="24"/>
        </w:rPr>
        <w:t>(a) Infraestructura de servidor: entorno local autoalojado (self-hosted) orquestado con Docker Compose sobre la máquina de desarrollo del equipo, sin infraestructura cloud contratada.</w:t>
      </w:r>
    </w:p>
    <w:p>
      <w:pPr>
        <w:pStyle w:val="normal1"/>
        <w:spacing w:lineRule="auto" w:line="420" w:before="0" w:after="0"/>
        <w:ind w:firstLine="709"/>
        <w:jc w:val="both"/>
        <w:rPr/>
      </w:pPr>
      <w:r>
        <w:rPr>
          <w:rFonts w:eastAsia="Times New Roman" w:cs="Times New Roman"/>
          <w:b w:val="false"/>
          <w:bCs w:val="false"/>
          <w:i w:val="false"/>
          <w:iCs w:val="false"/>
          <w:sz w:val="24"/>
          <w:szCs w:val="24"/>
        </w:rPr>
        <w:t>(b) Configuración de red del entorno de pruebas: red corporativa de 100 Mbps de bajada, sin proxy ni filtros de contenido.</w:t>
      </w:r>
    </w:p>
    <w:p>
      <w:pPr>
        <w:pStyle w:val="normal1"/>
        <w:spacing w:lineRule="auto" w:line="420" w:before="0" w:after="0"/>
        <w:ind w:firstLine="709"/>
        <w:jc w:val="both"/>
        <w:rPr/>
      </w:pPr>
      <w:r>
        <w:rPr>
          <w:rFonts w:eastAsia="Times New Roman" w:cs="Times New Roman"/>
          <w:b w:val="false"/>
          <w:bCs w:val="false"/>
          <w:i w:val="false"/>
          <w:iCs w:val="false"/>
          <w:sz w:val="24"/>
          <w:szCs w:val="24"/>
        </w:rPr>
        <w:t>(c) Perfil de los usuarios de usabilidad: clientes actuales de Golden Harvest S.A. con experiencia mínima de uso de smartphones y navegadores web.</w:t>
      </w:r>
    </w:p>
    <w:p>
      <w:pPr>
        <w:pStyle w:val="Heading2"/>
        <w:spacing w:lineRule="auto" w:line="420" w:before="280" w:after="80"/>
        <w:jc w:val="start"/>
        <w:rPr/>
      </w:pPr>
      <w:bookmarkStart w:id="19" w:name="__RefHeading___Toc2032_910930204"/>
      <w:bookmarkEnd w:id="19"/>
      <w:r>
        <w:rPr>
          <w:rFonts w:eastAsia="Times New Roman" w:cs="Times New Roman" w:ascii="Times New Roman" w:hAnsi="Times New Roman"/>
          <w:b/>
          <w:bCs/>
          <w:i w:val="false"/>
          <w:iCs w:val="false"/>
          <w:sz w:val="26"/>
          <w:szCs w:val="26"/>
        </w:rPr>
        <w:t>3.3 Enfoque metodológico</w:t>
      </w:r>
    </w:p>
    <w:p>
      <w:pPr>
        <w:pStyle w:val="normal1"/>
        <w:spacing w:lineRule="auto" w:line="420" w:before="0" w:after="0"/>
        <w:ind w:firstLine="709"/>
        <w:jc w:val="both"/>
        <w:rPr/>
      </w:pPr>
      <w:r>
        <w:rPr>
          <w:rFonts w:eastAsia="Times New Roman" w:cs="Times New Roman"/>
          <w:b w:val="false"/>
          <w:bCs w:val="false"/>
          <w:i w:val="false"/>
          <w:iCs w:val="false"/>
          <w:sz w:val="24"/>
          <w:szCs w:val="24"/>
        </w:rPr>
        <w:t>Para la ejecución del proyecto se adoptó una Metodología Ágil de desarrollo de software, articulada sobre los principios del marco Scrum (Schwaber &amp; Sutherland, 2020) y adaptada a las particularidades de un proyecto de investigación y desarrollo en el ámbito académico. El enfoque ágil se consideró el más adecuado por varias razones: la naturaleza iterativa del problema —en el que los requerimientos del sistema se van precisando a medida que avanza el diagnóstico—, la necesidad de validación continua de cada componente con el cliente final —los responsables de Golden Harvest S.A.— antes de avanzar hacia el siguiente, y la conveniencia de distribuir el riesgo técnico del proyecto en entregas incrementales que permitan detectar y corregir desviaciones de manera temprana.</w:t>
      </w:r>
    </w:p>
    <w:p>
      <w:pPr>
        <w:pStyle w:val="normal1"/>
        <w:spacing w:lineRule="auto" w:line="420" w:before="0" w:after="0"/>
        <w:ind w:firstLine="709"/>
        <w:jc w:val="both"/>
        <w:rPr/>
      </w:pPr>
      <w:r>
        <w:rPr>
          <w:rFonts w:eastAsia="Times New Roman" w:cs="Times New Roman"/>
          <w:b w:val="false"/>
          <w:bCs w:val="false"/>
          <w:i w:val="false"/>
          <w:iCs w:val="false"/>
          <w:sz w:val="24"/>
          <w:szCs w:val="24"/>
        </w:rPr>
        <w:t>Un elemento metodológico de particular relevancia es la integración sistemática de herramientas de inteligencia artificial generativa en el proceso de desarrollo. Como se detalla en la sección 4.6, los modelos de lenguaje de gran escala fueron utilizados como asistentes de programación en la generación de código para componentes de React y en la elaboración de scripts dentro de los nodos de función de n8n. Todo el código generado mediante asistencia de IA fue sometido a un riguroso proceso de revisión manual y pruebas funcionales antes de su integración al sistema definitivo.</w:t>
      </w:r>
    </w:p>
    <w:p>
      <w:pPr>
        <w:pStyle w:val="Heading2"/>
        <w:spacing w:lineRule="auto" w:line="420" w:before="280" w:after="80"/>
        <w:jc w:val="start"/>
        <w:rPr/>
      </w:pPr>
      <w:bookmarkStart w:id="20" w:name="__RefHeading___Toc2034_910930204"/>
      <w:bookmarkEnd w:id="20"/>
      <w:r>
        <w:rPr>
          <w:rFonts w:eastAsia="Times New Roman" w:cs="Times New Roman" w:ascii="Times New Roman" w:hAnsi="Times New Roman"/>
          <w:b/>
          <w:bCs/>
          <w:i w:val="false"/>
          <w:iCs w:val="false"/>
          <w:sz w:val="26"/>
          <w:szCs w:val="26"/>
        </w:rPr>
        <w:t>3.4 Técnicas de recolección de datos</w:t>
      </w:r>
    </w:p>
    <w:p>
      <w:pPr>
        <w:pStyle w:val="normal1"/>
        <w:spacing w:lineRule="auto" w:line="420" w:before="0" w:after="0"/>
        <w:ind w:firstLine="709"/>
        <w:jc w:val="both"/>
        <w:rPr/>
      </w:pPr>
      <w:r>
        <w:rPr>
          <w:rFonts w:eastAsia="Times New Roman" w:cs="Times New Roman"/>
          <w:b w:val="false"/>
          <w:bCs w:val="false"/>
          <w:i w:val="false"/>
          <w:iCs w:val="false"/>
          <w:sz w:val="24"/>
          <w:szCs w:val="24"/>
        </w:rPr>
        <w:t>Para el diagnóstico inicial del estado de la infraestructura digital de Golden Harvest S.A. y para el diseño informado de la solución propuesta, se emplearon dos técnicas complementarias de recolección de datos. Consistente con la restricción declarada en la sección 1.7 —el equipo de desarrollo no tuvo acceso real ni contacto con la empresa—, no se realizaron entrevistas ni ninguna otra forma de recolección directa de datos operativos de Golden Harvest S.A.</w:t>
      </w:r>
    </w:p>
    <w:p>
      <w:pPr>
        <w:pStyle w:val="normal1"/>
        <w:spacing w:lineRule="auto" w:line="420" w:before="0" w:after="0"/>
        <w:ind w:firstLine="709"/>
        <w:jc w:val="both"/>
        <w:rPr/>
      </w:pPr>
      <w:r>
        <w:rPr>
          <w:rFonts w:eastAsia="Times New Roman" w:cs="Times New Roman"/>
          <w:b w:val="false"/>
          <w:bCs w:val="false"/>
          <w:i w:val="false"/>
          <w:iCs w:val="false"/>
          <w:sz w:val="24"/>
          <w:szCs w:val="24"/>
        </w:rPr>
        <w:t>La primera técnica fue la auditoría técnica del sitio web existente. Esta auditoría consistió en el análisis sistemático de las métricas de rendimiento del sitio actual mediante Google PageSpeed Insights y Google Lighthouse v12.8.2, ejecutados en modo de dispositivo móvil simulado (Moto G Power, 4G simulado con RTT 150ms) y en modo de escritorio. Lighthouse calcula cada puntuación de categoría (0–100) como un promedio ponderado de sus métricas individuales, con pesos y curvas de puntuación log-normal documentados públicamente por Google (Google Developers, 2024b). Los resultados de esta auditoría —detallados en el Anexo A— proporcionaron una línea de base cuantitativa frente a la cual contrastar las mejoras obtenidas con la nueva implementación. Los principales cuellos de botella identificados fueron: tiempos de carga elevados por falta de optimización de imágenes y recursos estáticos (puntuación LCP: 8,9 segundos en móvil), ausencia de técnicas de lazy loading, diseño no responsivo para resoluciones móviles, y carencia de metadatos estructurados para SEO.</w:t>
      </w:r>
    </w:p>
    <w:p>
      <w:pPr>
        <w:pStyle w:val="normal1"/>
        <w:spacing w:lineRule="auto" w:line="420" w:before="0" w:after="0"/>
        <w:ind w:firstLine="709"/>
        <w:jc w:val="both"/>
        <w:rPr/>
      </w:pPr>
      <w:r>
        <w:rPr>
          <w:rFonts w:eastAsia="Times New Roman" w:cs="Times New Roman"/>
          <w:b w:val="false"/>
          <w:bCs w:val="false"/>
          <w:i w:val="false"/>
          <w:iCs w:val="false"/>
          <w:sz w:val="24"/>
          <w:szCs w:val="24"/>
        </w:rPr>
        <w:t>La segunda técnica fue el mapeo razonado de procesos manuales típicos de una PyME del sector de actividad de Golden Harvest S.A. Para cada proceso se identificaron los inputs necesarios, los pasos de transformación, los outputs esperados, las herramientas involucradas y una estimación de orden de magnitud del tiempo de ejecución, elaborada por el equipo de tesis a partir de procesos comerciales y logísticos comparables descritos en la literatura de PyMEs, y no de datos recabados de la empresa. Los resultados de este mapeo razonado —sintetizados en la Tabla 4— fueron la base para el diseño de los flujos de automatización en n8n.</w:t>
      </w:r>
    </w:p>
    <w:p>
      <w:pPr>
        <w:pStyle w:val="TablaCaptionIDX"/>
        <w:spacing w:lineRule="auto" w:line="240" w:before="160" w:after="40"/>
        <w:jc w:val="center"/>
        <w:rPr/>
      </w:pPr>
      <w:r>
        <w:rPr>
          <w:rFonts w:eastAsia="Times New Roman" w:cs="Times New Roman"/>
          <w:b/>
          <w:bCs/>
          <w:i w:val="false"/>
          <w:iCs w:val="false"/>
          <w:sz w:val="22"/>
          <w:szCs w:val="22"/>
        </w:rPr>
        <w:t>Tabla 4: Resumen del mapeo de procesos manuales preexistentes</w:t>
      </w:r>
    </w:p>
    <w:tbl>
      <w:tblPr>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669"/>
        <w:gridCol w:w="1803"/>
        <w:gridCol w:w="2131"/>
        <w:gridCol w:w="1181"/>
      </w:tblGrid>
      <w:tr>
        <w:trPr/>
        <w:tc>
          <w:tcPr>
            <w:tcW w:w="3669" w:type="dxa"/>
            <w:tcBorders>
              <w:top w:val="single" w:sz="4" w:space="0" w:color="888888"/>
              <w:start w:val="single" w:sz="4" w:space="0" w:color="888888"/>
              <w:bottom w:val="single" w:sz="4" w:space="0" w:color="888888"/>
              <w:end w:val="single" w:sz="4" w:space="0" w:color="888888"/>
            </w:tcBorders>
          </w:tcPr>
          <w:p>
            <w:pPr>
              <w:pStyle w:val="normal1"/>
              <w:rPr/>
            </w:pPr>
            <w:r>
              <w:rPr>
                <w:b/>
                <w:sz w:val="20"/>
              </w:rPr>
              <w:t>Proceso</w:t>
            </w:r>
          </w:p>
        </w:tc>
        <w:tc>
          <w:tcPr>
            <w:tcW w:w="1803" w:type="dxa"/>
            <w:tcBorders>
              <w:top w:val="single" w:sz="4" w:space="0" w:color="888888"/>
              <w:start w:val="single" w:sz="4" w:space="0" w:color="888888"/>
              <w:bottom w:val="single" w:sz="4" w:space="0" w:color="888888"/>
              <w:end w:val="single" w:sz="4" w:space="0" w:color="888888"/>
            </w:tcBorders>
          </w:tcPr>
          <w:p>
            <w:pPr>
              <w:pStyle w:val="normal1"/>
              <w:rPr/>
            </w:pPr>
            <w:r>
              <w:rPr>
                <w:b/>
                <w:sz w:val="20"/>
              </w:rPr>
              <w:t>Responsable</w:t>
            </w:r>
          </w:p>
        </w:tc>
        <w:tc>
          <w:tcPr>
            <w:tcW w:w="2131" w:type="dxa"/>
            <w:tcBorders>
              <w:top w:val="single" w:sz="4" w:space="0" w:color="888888"/>
              <w:start w:val="single" w:sz="4" w:space="0" w:color="888888"/>
              <w:bottom w:val="single" w:sz="4" w:space="0" w:color="888888"/>
              <w:end w:val="single" w:sz="4" w:space="0" w:color="888888"/>
            </w:tcBorders>
          </w:tcPr>
          <w:p>
            <w:pPr>
              <w:pStyle w:val="normal1"/>
              <w:rPr/>
            </w:pPr>
            <w:r>
              <w:rPr>
                <w:b/>
                <w:sz w:val="20"/>
              </w:rPr>
              <w:t>Tiempo promedio</w:t>
            </w:r>
          </w:p>
        </w:tc>
        <w:tc>
          <w:tcPr>
            <w:tcW w:w="1181" w:type="dxa"/>
            <w:tcBorders>
              <w:top w:val="single" w:sz="4" w:space="0" w:color="888888"/>
              <w:start w:val="single" w:sz="4" w:space="0" w:color="888888"/>
              <w:bottom w:val="single" w:sz="4" w:space="0" w:color="888888"/>
              <w:end w:val="single" w:sz="4" w:space="0" w:color="888888"/>
            </w:tcBorders>
          </w:tcPr>
          <w:p>
            <w:pPr>
              <w:pStyle w:val="normal1"/>
              <w:rPr/>
            </w:pPr>
            <w:r>
              <w:rPr>
                <w:b/>
                <w:sz w:val="20"/>
              </w:rPr>
              <w:t>Frecuencia</w:t>
            </w:r>
          </w:p>
        </w:tc>
      </w:tr>
      <w:tr>
        <w:trPr/>
        <w:tc>
          <w:tcPr>
            <w:tcW w:w="3669"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Atención de consulta comercial</w:t>
            </w:r>
          </w:p>
        </w:tc>
        <w:tc>
          <w:tcPr>
            <w:tcW w:w="180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Vendedor</w:t>
            </w:r>
          </w:p>
        </w:tc>
        <w:tc>
          <w:tcPr>
            <w:tcW w:w="213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15–25 min/consulta</w:t>
            </w:r>
          </w:p>
        </w:tc>
        <w:tc>
          <w:tcPr>
            <w:tcW w:w="11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Diaria</w:t>
            </w:r>
          </w:p>
        </w:tc>
      </w:tr>
      <w:tr>
        <w:trPr/>
        <w:tc>
          <w:tcPr>
            <w:tcW w:w="3669"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Publicación en redes sociales</w:t>
            </w:r>
          </w:p>
        </w:tc>
        <w:tc>
          <w:tcPr>
            <w:tcW w:w="180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Dueño/Marketing</w:t>
            </w:r>
          </w:p>
        </w:tc>
        <w:tc>
          <w:tcPr>
            <w:tcW w:w="213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45–90 min/semana</w:t>
            </w:r>
          </w:p>
        </w:tc>
        <w:tc>
          <w:tcPr>
            <w:tcW w:w="11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Semanal</w:t>
            </w:r>
          </w:p>
        </w:tc>
      </w:tr>
      <w:tr>
        <w:trPr/>
        <w:tc>
          <w:tcPr>
            <w:tcW w:w="3669"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Generación de remito y etiqueta</w:t>
            </w:r>
          </w:p>
        </w:tc>
        <w:tc>
          <w:tcPr>
            <w:tcW w:w="180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Administrativo</w:t>
            </w:r>
          </w:p>
        </w:tc>
        <w:tc>
          <w:tcPr>
            <w:tcW w:w="213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8–12 min/pedido</w:t>
            </w:r>
          </w:p>
        </w:tc>
        <w:tc>
          <w:tcPr>
            <w:tcW w:w="11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Por evento</w:t>
            </w:r>
          </w:p>
        </w:tc>
      </w:tr>
      <w:tr>
        <w:trPr/>
        <w:tc>
          <w:tcPr>
            <w:tcW w:w="3669"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Reporte de actividad mensual</w:t>
            </w:r>
          </w:p>
        </w:tc>
        <w:tc>
          <w:tcPr>
            <w:tcW w:w="180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Administrativo</w:t>
            </w:r>
          </w:p>
        </w:tc>
        <w:tc>
          <w:tcPr>
            <w:tcW w:w="213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2–3 hs/mes</w:t>
            </w:r>
          </w:p>
        </w:tc>
        <w:tc>
          <w:tcPr>
            <w:tcW w:w="11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Mensual</w:t>
            </w:r>
          </w:p>
        </w:tc>
      </w:tr>
    </w:tbl>
    <w:p>
      <w:pPr>
        <w:pStyle w:val="TablaCaptionIDX"/>
        <w:rPr/>
      </w:pPr>
      <w:r>
        <w:rPr>
          <w:i/>
        </w:rPr>
        <w:t>Nota. Fuente: estimación de orden de magnitud elaborada por el equipo de tesis, no medición directa ni dato recabado de Golden Harvest S.A.</w:t>
      </w:r>
    </w:p>
    <w:p>
      <w:pPr>
        <w:pStyle w:val="normal1"/>
        <w:rPr/>
      </w:pPr>
      <w:r>
        <w:rPr>
          <w:rFonts w:ascii="Courier New" w:hAnsi="Courier New"/>
          <w:sz w:val="18"/>
        </w:rPr>
        <w:t>Consideraciones éticas: Este proyecto no involucró la participación de personas reales en ninguna etapa. No se realizaron entrevistas, sesiones ni pruebas de usabilidad con personal o clientes de Golden Harvest S.A. (véase §1.7 y §4.5); todo dato de usuario final, de personal operativo o de proceso interno utilizado en este documento es simulado o una estimación razonada del equipo de tesis, conforme a las restricciones de acceso del proyecto declaradas en la introducción. Un estudio de campo futuro con participantes o personal reales deberá incorporar un formulario de consentimiento informado por escrito como procedimiento estándar, previo a cualquier sesión.</w:t>
      </w:r>
    </w:p>
    <w:p>
      <w:pPr>
        <w:pStyle w:val="Heading2"/>
        <w:spacing w:lineRule="auto" w:line="420" w:before="280" w:after="80"/>
        <w:jc w:val="start"/>
        <w:rPr/>
      </w:pPr>
      <w:bookmarkStart w:id="21" w:name="__RefHeading___Toc2036_910930204"/>
      <w:bookmarkEnd w:id="21"/>
      <w:r>
        <w:rPr>
          <w:rFonts w:eastAsia="Times New Roman" w:cs="Times New Roman" w:ascii="Times New Roman" w:hAnsi="Times New Roman"/>
          <w:b/>
          <w:bCs/>
          <w:i w:val="false"/>
          <w:iCs w:val="false"/>
          <w:sz w:val="26"/>
          <w:szCs w:val="26"/>
        </w:rPr>
        <w:t>3.5 Herramientas e instrumentos tecnológicos</w:t>
      </w:r>
    </w:p>
    <w:p>
      <w:pPr>
        <w:pStyle w:val="normal1"/>
        <w:spacing w:lineRule="auto" w:line="420" w:before="0" w:after="0"/>
        <w:ind w:firstLine="709"/>
        <w:jc w:val="both"/>
        <w:rPr/>
      </w:pPr>
      <w:r>
        <w:rPr>
          <w:rFonts w:eastAsia="Times New Roman" w:cs="Times New Roman"/>
          <w:b w:val="false"/>
          <w:bCs w:val="false"/>
          <w:i w:val="false"/>
          <w:iCs w:val="false"/>
          <w:sz w:val="24"/>
          <w:szCs w:val="24"/>
        </w:rPr>
        <w:t>El ecosistema tecnológico del proyecto se articula en dos categorías: el Stack Tecnológico de Producción y las Herramientas de Soporte al Desarrollo.</w:t>
      </w:r>
    </w:p>
    <w:p>
      <w:pPr>
        <w:pStyle w:val="normal1"/>
        <w:spacing w:lineRule="auto" w:line="420" w:before="0" w:after="0"/>
        <w:ind w:firstLine="709"/>
        <w:jc w:val="both"/>
        <w:rPr/>
      </w:pPr>
      <w:r>
        <w:rPr>
          <w:rFonts w:eastAsia="Times New Roman" w:cs="Times New Roman"/>
          <w:b w:val="false"/>
          <w:bCs w:val="false"/>
          <w:i w:val="false"/>
          <w:iCs w:val="false"/>
          <w:sz w:val="24"/>
          <w:szCs w:val="24"/>
        </w:rPr>
        <w:t>Stack Tecnológico de Producción: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 xml:space="preserve">La capa de presentación está construida sobre React 19 con Vite 8 (Vite, s.f.). La documentación oficial de Vite no versiona sus páginas por release, por lo que se cita sin año específico en vez de atribuir una fecha de consulta a una versión que pudo haber cambiado desde entonces. El proyecto es una Single Page Application (SPA) pura con build estático: Vite no incorpora ningún plugin de Server-Side Rendering (SSR). La optimización de carga se apoya en el code splitting automático de Vite y en la generación de un </w:t>
      </w:r>
      <w:r>
        <w:rPr>
          <w:i/>
        </w:rPr>
        <w:t>bundle</w:t>
      </w:r>
      <w:r>
        <w:rPr/>
        <w:t xml:space="preserve"> estático servido por el propio contenedor del frontend. El sistema de estilos utiliza Tailwind CSS v4 (Tailwind Labs, 2024), un framework CSS utilitario que permite una implementación rápida y coherente del diseño responsivo. El estado del carrito de compras se gestiona mediante Context API de React (CartContext), sin una biblioteca de gestión de estado externa para ese flujo específico. El estado de los datos del catálogo, en cambio, se gestiona con Zustand, como se detalla en §4.2.</w:t>
      </w:r>
    </w:p>
    <w:p>
      <w:pPr>
        <w:pStyle w:val="normal1"/>
        <w:spacing w:lineRule="auto" w:line="420" w:before="0" w:after="0"/>
        <w:ind w:firstLine="709"/>
        <w:jc w:val="both"/>
        <w:rPr/>
      </w:pPr>
      <w:r>
        <w:rPr>
          <w:rFonts w:eastAsia="Times New Roman" w:cs="Times New Roman"/>
          <w:b w:val="false"/>
          <w:bCs w:val="false"/>
          <w:i w:val="false"/>
          <w:iCs w:val="false"/>
          <w:sz w:val="24"/>
          <w:szCs w:val="24"/>
        </w:rPr>
        <w:t>La capa de automatización y orquestación está implementada sobre n8n en su versión de autoalojamiento (self-hosted), desplegada en un contenedor Docker para garantizar la portabilidad y el aislamiento del entorno de ejecución (n8n GmbH, 2024). El Dockerfile del servicio instala n8n mediante "npm install -g n8n" sin fijar una versión específica, lo que significa que cada reconstrucción de la imagen incorpora la última versión estable publicada. Se identifica como mejora de reproducibilidad pendiente fijar una versión exacta en builds futuros. Para el almacenamiento persistente de los datos de negocio (leads, cotizaciones, clientes, pedidos, inventario de productos) se utiliza un único motor: PostgreSQL 16, accedido desde el backend mediante el ORM Prisma. n8n mantiene además su propio almacenamiento SQLite interno —independiente de este esquema— para sus definiciones de flujo y su historial de ejecuciones.</w:t>
      </w:r>
    </w:p>
    <w:p>
      <w:pPr>
        <w:pStyle w:val="normal1"/>
        <w:spacing w:lineRule="auto" w:line="420" w:before="0" w:after="0"/>
        <w:ind w:firstLine="709"/>
        <w:jc w:val="both"/>
        <w:rPr/>
      </w:pPr>
      <w:r>
        <w:rPr>
          <w:rFonts w:eastAsia="Times New Roman" w:cs="Times New Roman"/>
          <w:b w:val="false"/>
          <w:bCs w:val="false"/>
          <w:i w:val="false"/>
          <w:iCs w:val="false"/>
          <w:sz w:val="24"/>
          <w:szCs w:val="24"/>
        </w:rPr>
        <w:t>La infraestructura de despliegue está basada en contenedores Docker orquestados mediante Docker Compose para los entornos de desarrollo y staging. Esta elección garantiza la reproducibilidad del entorno en cualquier servidor compatible con Docker y simplifica los procedimientos de backup y migración. El Anexo C contiene el archivo docker-compose.yml completo del proyecto.</w:t>
      </w:r>
    </w:p>
    <w:p>
      <w:pPr>
        <w:pStyle w:val="normal1"/>
        <w:spacing w:lineRule="auto" w:line="420" w:before="0" w:after="0"/>
        <w:ind w:firstLine="709"/>
        <w:jc w:val="both"/>
        <w:rPr/>
      </w:pPr>
      <w:r>
        <w:rPr>
          <w:rFonts w:eastAsia="Times New Roman" w:cs="Times New Roman"/>
          <w:b w:val="false"/>
          <w:bCs w:val="false"/>
          <w:i w:val="false"/>
          <w:iCs w:val="false"/>
          <w:sz w:val="24"/>
          <w:szCs w:val="24"/>
        </w:rPr>
        <w:t>Herramientas de Soporte al Desarrollo:</w:t>
      </w:r>
    </w:p>
    <w:p>
      <w:pPr>
        <w:pStyle w:val="normal1"/>
        <w:spacing w:lineRule="auto" w:line="420" w:before="0" w:after="0"/>
        <w:ind w:firstLine="709"/>
        <w:jc w:val="both"/>
        <w:rPr/>
      </w:pPr>
      <w:r>
        <w:rPr>
          <w:rFonts w:eastAsia="Times New Roman" w:cs="Times New Roman"/>
          <w:b w:val="false"/>
          <w:bCs w:val="false"/>
          <w:i w:val="false"/>
          <w:iCs w:val="false"/>
          <w:sz w:val="24"/>
          <w:szCs w:val="24"/>
        </w:rPr>
        <w:t>El aseguramiento de la calidad se implementa a través de un proceso combinado de: (a) pruebas unitarias y de integración de componentes con Jest 29 y React Testing Library, cubriendo los componentes y flujos críticos del catálogo (carrito, formulario de cotización, panel de admin); (b) pruebas end-to-end con Playwright, identificadas como trabajo futuro (ver sección 6.2, recomendación 4) y no implementadas al momento de esta presentación; (c) pruebas de los flujos n8n mediante ejecución manual con payloads sintéticos, documentadas en el Anexo D; y (d) análisis estático de código mediante ESLint 8. El control de versiones se gestiona a través de Git y GitHub, con una estrategia de branching basada en GitHub Flow (GitHub, 2024).</w:t>
      </w:r>
    </w:p>
    <w:p>
      <w:pPr>
        <w:pStyle w:val="Heading1"/>
        <w:spacing w:lineRule="auto" w:line="240" w:before="0" w:after="360"/>
        <w:jc w:val="center"/>
        <w:rPr/>
      </w:pPr>
      <w:bookmarkStart w:id="22" w:name="__RefHeading___Toc2040_910930204"/>
      <w:bookmarkEnd w:id="22"/>
      <w:r>
        <w:rPr>
          <w:rFonts w:eastAsia="Times New Roman" w:cs="Times New Roman" w:ascii="Times New Roman" w:hAnsi="Times New Roman"/>
          <w:b/>
          <w:bCs/>
          <w:i w:val="false"/>
          <w:iCs w:val="false"/>
          <w:sz w:val="28"/>
          <w:szCs w:val="28"/>
        </w:rPr>
        <w:t>CAPÍTULO 4: DESARROLLO DE LA INVESTIGACIÓN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Este capítulo describe en detalle el proceso de diseño e implementación del ecosistema digital de Golden Harvest S.A., cubriendo la arquitectura del sistema, el desarrollo del catálogo interactivo en React, la implementación de la capa de automatización con n8n, las consideraciones de seguridad, la estrategia de pruebas y el proceso de desarrollo asistido por IA.</w:t>
      </w:r>
    </w:p>
    <w:p>
      <w:pPr>
        <w:pStyle w:val="Heading2"/>
        <w:spacing w:lineRule="auto" w:line="420" w:before="280" w:after="80"/>
        <w:jc w:val="start"/>
        <w:rPr/>
      </w:pPr>
      <w:bookmarkStart w:id="23" w:name="__RefHeading___Toc2042_910930204"/>
      <w:bookmarkEnd w:id="23"/>
      <w:r>
        <w:rPr>
          <w:rFonts w:eastAsia="Times New Roman" w:cs="Times New Roman" w:ascii="Times New Roman" w:hAnsi="Times New Roman"/>
          <w:b/>
          <w:bCs/>
          <w:i w:val="false"/>
          <w:iCs w:val="false"/>
          <w:sz w:val="26"/>
          <w:szCs w:val="26"/>
        </w:rPr>
        <w:t>4.1 Arquitectura del Sistema (Diseño Técnico)</w:t>
      </w:r>
    </w:p>
    <w:p>
      <w:pPr>
        <w:pStyle w:val="normal1"/>
        <w:spacing w:lineRule="auto" w:line="420" w:before="0" w:after="0"/>
        <w:ind w:firstLine="709"/>
        <w:jc w:val="both"/>
        <w:rPr/>
      </w:pPr>
      <w:r>
        <w:rPr>
          <w:rFonts w:eastAsia="Times New Roman" w:cs="Times New Roman"/>
          <w:b w:val="false"/>
          <w:bCs w:val="false"/>
          <w:i w:val="false"/>
          <w:iCs w:val="false"/>
          <w:sz w:val="24"/>
          <w:szCs w:val="24"/>
        </w:rPr>
        <w:t>La capa de presentación y la lógica de orquestación de procesos de negocio son componentes independientes que se comunican a través de interfaces bien definidas. Este desacoplamiento no solo responde a razones de mantenibilidad y escalabilidad, sino también a una lógica operacional. Permite que el catálogo interactivo evolucione de manera autónoma en respuesta a cambios en los requerimientos de la interfaz de usuario sin necesidad de modificar los flujos de automatización, y viceversa.</w:t>
      </w:r>
    </w:p>
    <w:p>
      <w:pPr>
        <w:pStyle w:val="normal1"/>
        <w:spacing w:lineRule="auto" w:line="420" w:before="0" w:after="0"/>
        <w:ind w:firstLine="709"/>
        <w:jc w:val="both"/>
        <w:rPr/>
      </w:pPr>
      <w:r>
        <w:rPr>
          <w:rFonts w:eastAsia="Times New Roman" w:cs="Times New Roman"/>
          <w:b w:val="false"/>
          <w:bCs w:val="false"/>
          <w:i w:val="false"/>
          <w:iCs w:val="false"/>
          <w:sz w:val="24"/>
          <w:szCs w:val="24"/>
        </w:rPr>
        <w:t>La arquitectura del sistema se organiza en tres capas diferenciadas, descritas a continuación y representadas en el diagrama de la Figura 2 (ver Anexo F):</w:t>
      </w:r>
    </w:p>
    <w:p>
      <w:pPr>
        <w:pStyle w:val="normal1"/>
        <w:jc w:val="center"/>
        <w:rPr/>
      </w:pPr>
      <w:r>
        <w:rPr/>
        <w:drawing>
          <wp:inline distT="0" distB="0" distL="0" distR="0">
            <wp:extent cx="1884680" cy="41148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1884680" cy="4114800"/>
                    </a:xfrm>
                    <a:prstGeom prst="rect">
                      <a:avLst/>
                    </a:prstGeom>
                    <a:noFill/>
                  </pic:spPr>
                </pic:pic>
              </a:graphicData>
            </a:graphic>
          </wp:inline>
        </w:drawing>
      </w:r>
    </w:p>
    <w:p>
      <w:pPr>
        <w:pStyle w:val="FiguraCaptionIDX"/>
        <w:jc w:val="center"/>
        <w:rPr/>
      </w:pPr>
      <w:r>
        <w:rPr>
          <w:i/>
          <w:sz w:val="24"/>
        </w:rPr>
        <w:t>Figura 2. Diagrama de arquitectura de tres capas (Anexo F).</w:t>
      </w:r>
    </w:p>
    <w:p>
      <w:pPr>
        <w:pStyle w:val="normal1"/>
        <w:spacing w:lineRule="auto" w:line="420" w:before="0" w:after="0"/>
        <w:ind w:firstLine="709"/>
        <w:jc w:val="both"/>
        <w:rPr/>
      </w:pPr>
      <w:r>
        <w:rPr>
          <w:rFonts w:eastAsia="Times New Roman" w:cs="Times New Roman"/>
          <w:b w:val="false"/>
          <w:bCs w:val="false"/>
          <w:i w:val="false"/>
          <w:iCs w:val="false"/>
          <w:sz w:val="24"/>
          <w:szCs w:val="24"/>
        </w:rPr>
        <w:t>Capa 1 — Presentación (Frontend React/Vite): responsable de la totalidad de la interacción con el usuario final. Cubre la visualización del catálogo, la gestión del estado del carrito, la recolección y validación de los datos del formulario de cotización, y la comunicación con los endpoints REST del backend (POST /api/quotes, GET /api/products) a través de llamadas fetch sobre HTTP. El frontend no almacena ningún dato de manera persistente más allá de la sesión del usuario en el browser, delegando toda la lógica de persistencia a la capa de automatización.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Capa 2 — Lógica de negocio y automatización (backend Express + n8n): esta capa combina dos componentes con responsabilidades bien delimitadas. El backend Express con Prisma concentra la lógica transaccional y es la única pieza que escribe en la base de datos: expone la API REST, valida con Zod los payloads entrantes, persiste cotizaciones, clientes, pedidos e interacciones, y dispara de forma asíncrona los webhooks hacia n8n. El orquestador n8n, por su parte, ejecuta los ocho workflows de automatización descritos en §4.3 —branding, monitoreo SEO, reputación, contenido de redes, reporte mensual, boletín quincenal, carrito abandonado y logística. Cada uno es independiente de los demás y se activa por su propio trigger programado o manual. En el estado implementado, n8n consume la API del backend en modo de sólo lectura y no participa en la recepción ni en la persistencia de las solicitudes de cotización, que resuelve el backend en su totalidad.</w:t>
      </w:r>
    </w:p>
    <w:p>
      <w:pPr>
        <w:pStyle w:val="normal1"/>
        <w:spacing w:lineRule="auto" w:line="420" w:before="0" w:after="0"/>
        <w:ind w:firstLine="709"/>
        <w:jc w:val="both"/>
        <w:rPr/>
      </w:pPr>
      <w:r>
        <w:rPr>
          <w:rFonts w:eastAsia="Times New Roman" w:cs="Times New Roman"/>
          <w:b w:val="false"/>
          <w:bCs w:val="false"/>
          <w:i w:val="false"/>
          <w:iCs w:val="false"/>
          <w:sz w:val="24"/>
          <w:szCs w:val="24"/>
        </w:rPr>
        <w:t>Capa 3 — Almacenamiento (PostgreSQL): Único motor de persistencia para los datos de negocio del ecosistema: registro de leads y cotizaciones, historial de estados, clientes, pedidos e inventario de productos, accedido desde el backend mediante Prisma ORM. La instancia de n8n mantiene su propio almacenamiento SQLite interno, separado de este esquema, para sus definiciones de flujo y su historial de ejecuciones (ver docs/architecture/n8n.md en el Anexo J). El esquema real, definido en backend/prisma/schema.prisma, organiza la captación de leads en dos modelos relacionados en lugar de una única tabla. El modelo Quote —mapeado a la tabla quotes— es el núcleo del flujo de cotización y se compone de: id (String, clave primaria generada con cuid()); sessionId (String, que vincula la solicitud con la sesión de navegación); contact (Json, que agrupa los datos de contacto del formulario —nombre, empresa, teléfono, email y notas— validados con Zod según §4.2); items (Json, arreglo de productos con identificador, nombre, línea, talle y cantidad); status (enum QuoteStatus, con los valores PENDING, CONTACTED y CLOSED, que modela el ciclo de vida comercial de la solicitud); customerId (String opcional, relación con el modelo Customer); y createdAt/updatedAt (timestamps). El modelo Customer —tabla customers— consolida la identidad del cliente a través de sucesivas cotizaciones mediante un upsert por email (campo único), y agrupa nombre, empresa, teléfono, localidad y tipo. El uso de campos Json para contact e items evita tablas de detalle normalizadas separadas, dado que ninguno de esos contenidos requiere consultarse por campo individual fuera de la propia cotización. Cabe señalar que el esquema no incluye un campo de prioridad: la priorización comercial de las solicitudes es una tarea humana del equipo de ventas y no un atributo calculado por el sistema.</w:t>
      </w:r>
    </w:p>
    <w:p>
      <w:pPr>
        <w:pStyle w:val="normal1"/>
        <w:spacing w:lineRule="auto" w:line="420" w:before="0" w:after="0"/>
        <w:ind w:firstLine="709"/>
        <w:jc w:val="both"/>
        <w:rPr/>
      </w:pPr>
      <w:r>
        <w:rPr>
          <w:rFonts w:eastAsia="Times New Roman" w:cs="Times New Roman"/>
          <w:b w:val="false"/>
          <w:bCs w:val="false"/>
          <w:i w:val="false"/>
          <w:iCs w:val="false"/>
          <w:sz w:val="24"/>
          <w:szCs w:val="24"/>
        </w:rPr>
        <w:t>La orquestación de infraestructura no constituye una capa arquitectónica adicional sino el medio de despliegue común a las tres capas. Los tres servicios —backend, PostgreSQL y n8n— están declarados en el archivo docker-compose.yml (ver Anexo C), lo que permite levantar la totalidad del ecosistema con un único comando. El frontend se sirve como build estático independiente. No se utiliza un servidor proxy inverso dedicado (Nginx u otro) en el entorno de staging descrito en este trabajo. La exposición de un proxy con terminación SSL queda identificada como trabajo futuro para el despliegue en producción (ver sección 6.4).</w:t>
      </w:r>
    </w:p>
    <w:p>
      <w:pPr>
        <w:pStyle w:val="normal1"/>
        <w:spacing w:lineRule="auto" w:line="420" w:before="0" w:after="0"/>
        <w:ind w:firstLine="709"/>
        <w:jc w:val="both"/>
        <w:rPr/>
      </w:pPr>
      <w:r>
        <w:rPr>
          <w:rFonts w:eastAsia="Times New Roman" w:cs="Times New Roman"/>
          <w:b w:val="false"/>
          <w:bCs w:val="false"/>
          <w:i w:val="false"/>
          <w:iCs w:val="false"/>
          <w:sz w:val="24"/>
          <w:szCs w:val="24"/>
        </w:rPr>
        <w:t>El flujo de datos principal del sistema sigue cinco pasos. Primero, el usuario interactúa con el catálogo React en su navegador. Segundo, al enviar la solicitud de cotización, el frontend realiza un HTTP POST hacia el backend (POST /api/quotes) con un payload JSON. Tercero, el backend valida el payload con Zod, hace upsert del cliente y persiste el lead en PostgreSQL, y dispara de forma asíncrona (fire-and-forget) el webhook hacia n8n. Cuarto, el equipo de ventas toma contacto con el lead a partir del registro persistido y del aviso recibido. Quinto, al confirmar el pedido, se genera la orden asociada, cuyos datos quedan disponibles en la API para que el workflow de logística (§4.3) componga la documentación de despacho en su siguiente ejecución.</w:t>
      </w:r>
    </w:p>
    <w:p>
      <w:pPr>
        <w:pStyle w:val="Heading2"/>
        <w:spacing w:lineRule="auto" w:line="420" w:before="280" w:after="80"/>
        <w:jc w:val="start"/>
        <w:rPr/>
      </w:pPr>
      <w:bookmarkStart w:id="24" w:name="__RefHeading___Toc2044_910930204"/>
      <w:bookmarkEnd w:id="24"/>
      <w:r>
        <w:rPr>
          <w:rFonts w:eastAsia="Times New Roman" w:cs="Times New Roman" w:ascii="Times New Roman" w:hAnsi="Times New Roman"/>
          <w:b/>
          <w:bCs/>
          <w:i w:val="false"/>
          <w:iCs w:val="false"/>
          <w:sz w:val="26"/>
          <w:szCs w:val="26"/>
        </w:rPr>
        <w:t>4.2 Desarrollo del Catálogo Interactivo (React)</w:t>
      </w:r>
    </w:p>
    <w:p>
      <w:pPr>
        <w:pStyle w:val="normal1"/>
        <w:spacing w:lineRule="auto" w:line="420" w:before="0" w:after="0"/>
        <w:ind w:firstLine="709"/>
        <w:jc w:val="both"/>
        <w:rPr/>
      </w:pPr>
      <w:r>
        <w:rPr>
          <w:rFonts w:eastAsia="Times New Roman" w:cs="Times New Roman"/>
          <w:b w:val="false"/>
          <w:bCs w:val="false"/>
          <w:i w:val="false"/>
          <w:iCs w:val="false"/>
          <w:sz w:val="24"/>
          <w:szCs w:val="24"/>
        </w:rPr>
        <w:t>El catálogo interactivo fue diseñado adoptando el paradigma Mobile-First: las decisiones de maquetado, tipografía y distribución de contenido se toman primero para la pantalla de un teléfono inteligente. Luego se amplían progresivamente para resoluciones mayores mediante los breakpoints de Tailwind CSS (sm: 640px, md: 768px, lg: 1024px, xl: 1280px). Esta decisión responde tanto a las estadísticas de uso de dispositivos del mercado local como al modelo de indexado de Google (Google Developers, 2024a).</w:t>
      </w:r>
    </w:p>
    <w:p>
      <w:pPr>
        <w:pStyle w:val="normal1"/>
        <w:spacing w:lineRule="auto" w:line="420" w:before="0" w:after="0"/>
        <w:ind w:firstLine="709"/>
        <w:jc w:val="both"/>
        <w:rPr/>
      </w:pPr>
      <w:r>
        <w:rPr>
          <w:rFonts w:eastAsia="Times New Roman" w:cs="Times New Roman"/>
          <w:b w:val="false"/>
          <w:bCs w:val="false"/>
          <w:i w:val="false"/>
          <w:iCs w:val="false"/>
          <w:sz w:val="24"/>
          <w:szCs w:val="24"/>
        </w:rPr>
        <w:t>La arquitectura de componentes de la aplicación sigue el patrón de Diseño Atómico de Frost (2016), organizado en tres niveles jerárquicos:</w:t>
      </w:r>
    </w:p>
    <w:p>
      <w:pPr>
        <w:pStyle w:val="normal1"/>
        <w:spacing w:lineRule="auto" w:line="420" w:before="0" w:after="0"/>
        <w:ind w:firstLine="709"/>
        <w:jc w:val="both"/>
        <w:rPr/>
      </w:pPr>
      <w:r>
        <w:rPr>
          <w:rFonts w:eastAsia="Times New Roman" w:cs="Times New Roman"/>
          <w:b w:val="false"/>
          <w:bCs w:val="false"/>
          <w:i w:val="false"/>
          <w:iCs w:val="false"/>
          <w:sz w:val="24"/>
          <w:szCs w:val="24"/>
        </w:rPr>
        <w:t>- Nivel 1 — Componentes de página (Page Components): Gestionados como secciones de la SPA. Comprenden: HomePage, CatalogoPage y ContactoPage.</w:t>
      </w:r>
    </w:p>
    <w:p>
      <w:pPr>
        <w:pStyle w:val="normal1"/>
        <w:spacing w:lineRule="auto" w:line="420" w:before="0" w:after="0"/>
        <w:ind w:firstLine="709"/>
        <w:jc w:val="both"/>
        <w:rPr/>
      </w:pPr>
      <w:r>
        <w:rPr>
          <w:rFonts w:eastAsia="Times New Roman" w:cs="Times New Roman"/>
          <w:b w:val="false"/>
          <w:bCs w:val="false"/>
          <w:i w:val="false"/>
          <w:iCs w:val="false"/>
          <w:sz w:val="24"/>
          <w:szCs w:val="24"/>
        </w:rPr>
        <w:t>- Nivel 2 — Componentes de sección (Section Components): HeroSection, ProductGrid, CartDrawer, QuoteForm, TestimonialsSection, FooterSection.</w:t>
      </w:r>
    </w:p>
    <w:p>
      <w:pPr>
        <w:pStyle w:val="normal1"/>
        <w:spacing w:lineRule="auto" w:line="420" w:before="0" w:after="0"/>
        <w:ind w:firstLine="709"/>
        <w:jc w:val="both"/>
        <w:rPr/>
      </w:pPr>
      <w:r>
        <w:rPr>
          <w:rFonts w:eastAsia="Times New Roman" w:cs="Times New Roman"/>
          <w:b w:val="false"/>
          <w:bCs w:val="false"/>
          <w:i w:val="false"/>
          <w:iCs w:val="false"/>
          <w:sz w:val="24"/>
          <w:szCs w:val="24"/>
        </w:rPr>
        <w:t>- Nivel 3 — Componentes atómicos (Atomic Components): ProductCard, CategoryBadge, QuantitySelector, PriceTag, FormInput, SubmitButton.</w:t>
      </w:r>
    </w:p>
    <w:p>
      <w:pPr>
        <w:pStyle w:val="normal1"/>
        <w:spacing w:lineRule="auto" w:line="420" w:before="0" w:after="0"/>
        <w:ind w:firstLine="709"/>
        <w:jc w:val="both"/>
        <w:rPr/>
      </w:pPr>
      <w:r>
        <w:rPr>
          <w:rFonts w:eastAsia="Times New Roman" w:cs="Times New Roman"/>
          <w:b w:val="false"/>
          <w:bCs w:val="false"/>
          <w:i w:val="false"/>
          <w:iCs w:val="false"/>
          <w:sz w:val="24"/>
          <w:szCs w:val="24"/>
        </w:rPr>
        <w:t>El siguiente fragmento de código ilustra la implementación real del envío de la solicitud de cotización: la función submitQuote() del cliente API y el manejador onSubmit del componente QuoteForm. Este último es responsable de la recolección de datos del lead y su envío al backend, que a su vez dispara el webhook de n8n (ver diagrama de secuencia, Figura 3):</w:t>
      </w:r>
    </w:p>
    <w:p>
      <w:pPr>
        <w:pStyle w:val="normal1"/>
        <w:spacing w:lineRule="auto" w:line="240" w:before="0" w:after="80"/>
        <w:rPr/>
      </w:pPr>
      <w:r>
        <w:rPr/>
      </w:r>
    </w:p>
    <w:p>
      <w:pPr>
        <w:pStyle w:val="normal1"/>
        <w:spacing w:lineRule="auto" w:line="240" w:before="0" w:after="0"/>
        <w:ind w:hanging="0" w:start="850"/>
        <w:jc w:val="start"/>
        <w:rPr/>
      </w:pPr>
      <w:r>
        <w:rPr>
          <w:rFonts w:eastAsia="Courier New" w:cs="Courier New" w:ascii="Courier New" w:hAnsi="Courier New"/>
          <w:sz w:val="18"/>
          <w:szCs w:val="18"/>
        </w:rPr>
        <w:t>// frontend/src/features/admin/api.ts</w:t>
      </w:r>
    </w:p>
    <w:p>
      <w:pPr>
        <w:pStyle w:val="normal1"/>
        <w:spacing w:lineRule="auto" w:line="240" w:before="0" w:after="0"/>
        <w:ind w:hanging="0" w:start="850"/>
        <w:jc w:val="start"/>
        <w:rPr/>
      </w:pPr>
      <w:r>
        <w:rPr>
          <w:rFonts w:eastAsia="Courier New" w:cs="Courier New" w:ascii="Courier New" w:hAnsi="Courier New"/>
          <w:sz w:val="18"/>
          <w:szCs w:val="18"/>
        </w:rPr>
        <w:t>const BASE = import.meta.env.VITE_API_URL ?? 'http://localhost:3001'</w:t>
      </w:r>
    </w:p>
    <w:p>
      <w:pPr>
        <w:pStyle w:val="normal1"/>
        <w:spacing w:lineRule="auto" w:line="240" w:before="0" w:after="0"/>
        <w:ind w:hanging="0" w:start="850"/>
        <w:jc w:val="start"/>
        <w:rPr/>
      </w:pPr>
      <w:r>
        <w:rPr/>
      </w:r>
    </w:p>
    <w:p>
      <w:pPr>
        <w:pStyle w:val="normal1"/>
        <w:spacing w:lineRule="auto" w:line="240" w:before="0" w:after="0"/>
        <w:ind w:hanging="0" w:start="850"/>
        <w:jc w:val="start"/>
        <w:rPr/>
      </w:pPr>
      <w:r>
        <w:rPr>
          <w:rFonts w:eastAsia="Courier New" w:cs="Courier New" w:ascii="Courier New" w:hAnsi="Courier New"/>
          <w:sz w:val="18"/>
          <w:szCs w:val="18"/>
        </w:rPr>
        <w:t>export async function submitQuote(payload: {</w:t>
      </w:r>
    </w:p>
    <w:p>
      <w:pPr>
        <w:pStyle w:val="normal1"/>
        <w:spacing w:lineRule="auto" w:line="240" w:before="0" w:after="0"/>
        <w:ind w:hanging="0" w:start="850"/>
        <w:jc w:val="start"/>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sessionId: string</w:t>
      </w:r>
    </w:p>
    <w:p>
      <w:pPr>
        <w:pStyle w:val="normal1"/>
        <w:spacing w:lineRule="auto" w:line="240" w:before="0" w:after="0"/>
        <w:ind w:hanging="0" w:start="850"/>
        <w:jc w:val="start"/>
        <w:rPr/>
      </w:pPr>
      <w:r>
        <w:rPr/>
        <w:t xml:space="preserve">  </w:t>
      </w:r>
      <w:r>
        <w:rPr/>
        <w:t>contact: Record&lt;string, string&gt;</w:t>
      </w:r>
    </w:p>
    <w:p>
      <w:pPr>
        <w:pStyle w:val="normal1"/>
        <w:spacing w:lineRule="auto" w:line="240" w:before="0" w:after="0"/>
        <w:ind w:hanging="0" w:start="850"/>
        <w:jc w:val="start"/>
        <w:rPr/>
      </w:pPr>
      <w:r>
        <w:rPr>
          <w:rFonts w:eastAsia="Courier New" w:cs="Courier New" w:ascii="Courier New" w:hAnsi="Courier New"/>
          <w:sz w:val="18"/>
          <w:szCs w:val="18"/>
        </w:rPr>
        <w:t xml:space="preserve">  </w:t>
      </w:r>
      <w:r>
        <w:rPr>
          <w:rFonts w:eastAsia="Courier New" w:cs="Courier New" w:ascii="Courier New" w:hAnsi="Courier New"/>
          <w:sz w:val="18"/>
          <w:szCs w:val="18"/>
        </w:rPr>
        <w:t>items: Array&lt;{ id: string; name: string; line: string; size: string; qty: number }&gt;</w:t>
      </w:r>
    </w:p>
    <w:p>
      <w:pPr>
        <w:pStyle w:val="normal1"/>
        <w:spacing w:lineRule="auto" w:line="240" w:before="0" w:after="0"/>
        <w:ind w:hanging="0" w:start="850"/>
        <w:jc w:val="start"/>
        <w:rPr/>
      </w:pPr>
      <w:r>
        <w:rPr>
          <w:rFonts w:eastAsia="Courier New" w:cs="Courier New" w:ascii="Courier New" w:hAnsi="Courier New"/>
          <w:sz w:val="18"/>
          <w:szCs w:val="18"/>
        </w:rPr>
        <w:t>}): Promise&lt;{ id: string }&gt; {</w:t>
      </w:r>
    </w:p>
    <w:p>
      <w:pPr>
        <w:pStyle w:val="normal1"/>
        <w:spacing w:lineRule="auto" w:line="240" w:before="0" w:after="0"/>
        <w:ind w:hanging="0" w:start="850"/>
        <w:jc w:val="start"/>
        <w:rPr/>
      </w:pPr>
      <w:r>
        <w:rPr>
          <w:rFonts w:eastAsia="Courier New" w:cs="Courier New" w:ascii="Courier New" w:hAnsi="Courier New"/>
          <w:sz w:val="18"/>
          <w:szCs w:val="18"/>
        </w:rPr>
        <w:t xml:space="preserve">  </w:t>
      </w:r>
      <w:r>
        <w:rPr>
          <w:rFonts w:eastAsia="Courier New" w:cs="Courier New" w:ascii="Courier New" w:hAnsi="Courier New"/>
          <w:sz w:val="18"/>
          <w:szCs w:val="18"/>
        </w:rPr>
        <w:t>const res = await fetch(`${BASE}/api/quotes`, {</w:t>
      </w:r>
    </w:p>
    <w:p>
      <w:pPr>
        <w:pStyle w:val="normal1"/>
        <w:spacing w:lineRule="auto" w:line="240" w:before="0" w:after="0"/>
        <w:ind w:hanging="0" w:start="850"/>
        <w:jc w:val="start"/>
        <w:rPr/>
      </w:pPr>
      <w:r>
        <w:rPr>
          <w:rFonts w:eastAsia="Courier New" w:cs="Courier New" w:ascii="Courier New" w:hAnsi="Courier New"/>
          <w:sz w:val="18"/>
          <w:szCs w:val="18"/>
        </w:rPr>
        <w:t xml:space="preserve">    </w:t>
      </w:r>
      <w:r>
        <w:rPr>
          <w:rFonts w:eastAsia="Courier New" w:cs="Courier New" w:ascii="Courier New" w:hAnsi="Courier New"/>
          <w:sz w:val="18"/>
          <w:szCs w:val="18"/>
        </w:rPr>
        <w:t>method: 'POST',</w:t>
      </w:r>
    </w:p>
    <w:p>
      <w:pPr>
        <w:pStyle w:val="normal1"/>
        <w:spacing w:lineRule="auto" w:line="240" w:before="0" w:after="0"/>
        <w:ind w:hanging="0" w:start="850"/>
        <w:jc w:val="start"/>
        <w:rPr/>
      </w:pPr>
      <w:r>
        <w:rPr>
          <w:rFonts w:eastAsia="Courier New" w:cs="Courier New" w:ascii="Courier New" w:hAnsi="Courier New"/>
          <w:sz w:val="18"/>
          <w:szCs w:val="18"/>
        </w:rPr>
        <w:t xml:space="preserve">    </w:t>
      </w:r>
      <w:r>
        <w:rPr>
          <w:rFonts w:eastAsia="Courier New" w:cs="Courier New" w:ascii="Courier New" w:hAnsi="Courier New"/>
          <w:sz w:val="18"/>
          <w:szCs w:val="18"/>
        </w:rPr>
        <w:t>headers: { 'Content-Type': 'application/json' },</w:t>
      </w:r>
    </w:p>
    <w:p>
      <w:pPr>
        <w:pStyle w:val="normal1"/>
        <w:spacing w:lineRule="auto" w:line="240" w:before="0" w:after="0"/>
        <w:ind w:hanging="0" w:start="850"/>
        <w:jc w:val="start"/>
        <w:rPr/>
      </w:pPr>
      <w:r>
        <w:rPr>
          <w:rFonts w:eastAsia="Courier New" w:cs="Courier New" w:ascii="Courier New" w:hAnsi="Courier New"/>
          <w:sz w:val="18"/>
          <w:szCs w:val="18"/>
        </w:rPr>
        <w:t xml:space="preserve">    </w:t>
      </w:r>
      <w:r>
        <w:rPr>
          <w:rFonts w:eastAsia="Courier New" w:cs="Courier New" w:ascii="Courier New" w:hAnsi="Courier New"/>
          <w:sz w:val="18"/>
          <w:szCs w:val="18"/>
        </w:rPr>
        <w:t>body: JSON.stringify(payload),</w:t>
      </w:r>
    </w:p>
    <w:p>
      <w:pPr>
        <w:pStyle w:val="normal1"/>
        <w:spacing w:lineRule="auto" w:line="240" w:before="0" w:after="0"/>
        <w:ind w:hanging="0" w:start="850"/>
        <w:jc w:val="start"/>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1"/>
        <w:spacing w:lineRule="auto" w:line="240" w:before="0" w:after="0"/>
        <w:ind w:hanging="0" w:start="850"/>
        <w:jc w:val="start"/>
        <w:rPr/>
      </w:pPr>
      <w:r>
        <w:rPr/>
        <w:t xml:space="preserve">  </w:t>
      </w:r>
      <w:r>
        <w:rPr/>
        <w:t>if (!res.ok) throw new Error('Error al enviar cotización')</w:t>
      </w:r>
    </w:p>
    <w:p>
      <w:pPr>
        <w:pStyle w:val="normal1"/>
        <w:spacing w:lineRule="auto" w:line="240" w:before="0" w:after="0"/>
        <w:ind w:hanging="0" w:start="850"/>
        <w:jc w:val="start"/>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res.json()</w:t>
      </w:r>
    </w:p>
    <w:p>
      <w:pPr>
        <w:pStyle w:val="normal1"/>
        <w:spacing w:lineRule="auto" w:line="240" w:before="0" w:after="0"/>
        <w:ind w:hanging="0" w:start="850"/>
        <w:jc w:val="start"/>
        <w:rPr/>
      </w:pPr>
      <w:r>
        <w:rPr/>
        <w:t>}</w:t>
      </w:r>
    </w:p>
    <w:p>
      <w:pPr>
        <w:pStyle w:val="normal1"/>
        <w:spacing w:lineRule="auto" w:line="240" w:before="0" w:after="0"/>
        <w:ind w:hanging="0" w:start="850"/>
        <w:jc w:val="start"/>
        <w:rPr/>
      </w:pPr>
      <w:r>
        <w:rPr>
          <w:rFonts w:eastAsia="Courier New" w:cs="Courier New" w:ascii="Courier New" w:hAnsi="Courier New"/>
          <w:sz w:val="18"/>
          <w:szCs w:val="18"/>
        </w:rPr>
        <w:t>const schema = z.object({ /* nombre, empresa, telefono, email, notas — ver validación descrita arriba */ })</w:t>
      </w:r>
    </w:p>
    <w:p>
      <w:pPr>
        <w:pStyle w:val="normal1"/>
        <w:spacing w:lineRule="auto" w:line="240" w:before="0" w:after="0"/>
        <w:ind w:hanging="0" w:start="850"/>
        <w:jc w:val="start"/>
        <w:rPr/>
      </w:pPr>
      <w:r>
        <w:rPr/>
      </w:r>
    </w:p>
    <w:p>
      <w:pPr>
        <w:pStyle w:val="normal1"/>
        <w:spacing w:lineRule="auto" w:line="240" w:before="0" w:after="0"/>
        <w:ind w:hanging="0" w:start="850"/>
        <w:jc w:val="start"/>
        <w:rPr/>
      </w:pPr>
      <w:r>
        <w:rPr>
          <w:rFonts w:eastAsia="Courier New" w:cs="Courier New" w:ascii="Courier New" w:hAnsi="Courier New"/>
          <w:sz w:val="18"/>
          <w:szCs w:val="18"/>
        </w:rPr>
        <w:t>const onSubmit = async (data: FormData) =&gt; {</w:t>
      </w:r>
    </w:p>
    <w:p>
      <w:pPr>
        <w:pStyle w:val="normal1"/>
        <w:spacing w:lineRule="auto" w:line="240" w:before="0" w:after="0"/>
        <w:ind w:hanging="0" w:start="850"/>
        <w:jc w:val="start"/>
        <w:rPr/>
      </w:pPr>
      <w:r>
        <w:rPr>
          <w:rFonts w:eastAsia="Courier New" w:cs="Courier New" w:ascii="Courier New" w:hAnsi="Courier New"/>
          <w:sz w:val="18"/>
          <w:szCs w:val="18"/>
        </w:rPr>
        <w:t>setStatus('sending')</w:t>
      </w:r>
    </w:p>
    <w:p>
      <w:pPr>
        <w:pStyle w:val="normal1"/>
        <w:spacing w:lineRule="auto" w:line="240" w:before="0" w:after="0"/>
        <w:ind w:hanging="0" w:start="850"/>
        <w:jc w:val="start"/>
        <w:rPr/>
      </w:pPr>
      <w:r>
        <w:rPr>
          <w:rFonts w:eastAsia="Courier New" w:cs="Courier New" w:ascii="Courier New" w:hAnsi="Courier New"/>
          <w:sz w:val="18"/>
          <w:szCs w:val="18"/>
        </w:rPr>
        <w:t>try {</w:t>
      </w:r>
    </w:p>
    <w:p>
      <w:pPr>
        <w:pStyle w:val="normal1"/>
        <w:spacing w:lineRule="auto" w:line="240" w:before="0" w:after="0"/>
        <w:ind w:hanging="0" w:start="850"/>
        <w:jc w:val="start"/>
        <w:rPr/>
      </w:pPr>
      <w:r>
        <w:rPr>
          <w:rFonts w:eastAsia="Courier New" w:cs="Courier New" w:ascii="Courier New" w:hAnsi="Courier New"/>
          <w:sz w:val="18"/>
          <w:szCs w:val="18"/>
        </w:rPr>
        <w:t>await submitQuote({ sessionId: getSessionId(), contact: data, items })</w:t>
      </w:r>
    </w:p>
    <w:p>
      <w:pPr>
        <w:pStyle w:val="normal1"/>
        <w:spacing w:lineRule="auto" w:line="240" w:before="0" w:after="0"/>
        <w:ind w:hanging="0" w:start="850"/>
        <w:jc w:val="start"/>
        <w:rPr/>
      </w:pPr>
      <w:r>
        <w:rPr>
          <w:rFonts w:eastAsia="Courier New" w:cs="Courier New" w:ascii="Courier New" w:hAnsi="Courier New"/>
          <w:sz w:val="18"/>
          <w:szCs w:val="18"/>
        </w:rPr>
        <w:t>setStatus('done')</w:t>
      </w:r>
    </w:p>
    <w:p>
      <w:pPr>
        <w:pStyle w:val="normal1"/>
        <w:spacing w:lineRule="auto" w:line="240" w:before="0" w:after="0"/>
        <w:ind w:hanging="0" w:start="850"/>
        <w:jc w:val="start"/>
        <w:rPr/>
      </w:pPr>
      <w:r>
        <w:rPr>
          <w:rFonts w:eastAsia="Courier New" w:cs="Courier New" w:ascii="Courier New" w:hAnsi="Courier New"/>
          <w:sz w:val="18"/>
          <w:szCs w:val="18"/>
        </w:rPr>
        <w:t>reset()</w:t>
      </w:r>
    </w:p>
    <w:p>
      <w:pPr>
        <w:pStyle w:val="normal1"/>
        <w:spacing w:lineRule="auto" w:line="240" w:before="0" w:after="0"/>
        <w:ind w:hanging="0" w:start="850"/>
        <w:jc w:val="start"/>
        <w:rPr/>
      </w:pPr>
      <w:r>
        <w:rPr>
          <w:rFonts w:eastAsia="Courier New" w:cs="Courier New" w:ascii="Courier New" w:hAnsi="Courier New"/>
          <w:sz w:val="18"/>
          <w:szCs w:val="18"/>
        </w:rPr>
        <w:t>} catch {</w:t>
      </w:r>
    </w:p>
    <w:p>
      <w:pPr>
        <w:pStyle w:val="normal1"/>
        <w:spacing w:lineRule="auto" w:line="240" w:before="0" w:after="0"/>
        <w:ind w:hanging="0" w:start="850"/>
        <w:jc w:val="start"/>
        <w:rPr/>
      </w:pPr>
      <w:r>
        <w:rPr>
          <w:rFonts w:eastAsia="Courier New" w:cs="Courier New" w:ascii="Courier New" w:hAnsi="Courier New"/>
          <w:sz w:val="18"/>
          <w:szCs w:val="18"/>
        </w:rPr>
        <w:t>setStatus('error')</w:t>
      </w:r>
    </w:p>
    <w:p>
      <w:pPr>
        <w:pStyle w:val="normal1"/>
        <w:spacing w:lineRule="auto" w:line="240" w:before="0" w:after="0"/>
        <w:ind w:hanging="0" w:start="850"/>
        <w:jc w:val="start"/>
        <w:rPr/>
      </w:pPr>
      <w:r>
        <w:rPr>
          <w:rFonts w:eastAsia="Courier New" w:cs="Courier New" w:ascii="Courier New" w:hAnsi="Courier New"/>
          <w:sz w:val="18"/>
          <w:szCs w:val="18"/>
        </w:rPr>
        <w:t>}</w:t>
      </w:r>
    </w:p>
    <w:p>
      <w:pPr>
        <w:pStyle w:val="normal1"/>
        <w:spacing w:lineRule="auto" w:line="240" w:before="0" w:after="0"/>
        <w:ind w:hanging="0" w:start="850"/>
        <w:jc w:val="start"/>
        <w:rPr/>
      </w:pPr>
      <w:r>
        <w:rPr>
          <w:rFonts w:eastAsia="Courier New" w:cs="Courier New" w:ascii="Courier New" w:hAnsi="Courier New"/>
          <w:sz w:val="18"/>
          <w:szCs w:val="18"/>
        </w:rPr>
        <w:t>}</w:t>
      </w:r>
    </w:p>
    <w:p>
      <w:pPr>
        <w:pStyle w:val="normal1"/>
        <w:spacing w:lineRule="auto" w:line="240" w:before="0" w:after="0"/>
        <w:ind w:hanging="0" w:start="850"/>
        <w:jc w:val="start"/>
        <w:rPr/>
      </w:pPr>
      <w:r>
        <w:rPr/>
      </w:r>
    </w:p>
    <w:p>
      <w:pPr>
        <w:pStyle w:val="normal1"/>
        <w:jc w:val="center"/>
        <w:rPr/>
      </w:pPr>
      <w:r>
        <w:rPr/>
        <w:drawing>
          <wp:inline distT="0" distB="0" distL="0" distR="0">
            <wp:extent cx="1884680" cy="411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1884680" cy="4114800"/>
                    </a:xfrm>
                    <a:prstGeom prst="rect">
                      <a:avLst/>
                    </a:prstGeom>
                    <a:noFill/>
                  </pic:spPr>
                </pic:pic>
              </a:graphicData>
            </a:graphic>
          </wp:inline>
        </w:drawing>
      </w:r>
    </w:p>
    <w:p>
      <w:pPr>
        <w:pStyle w:val="FiguraCaptionIDX"/>
        <w:jc w:val="center"/>
        <w:rPr/>
      </w:pPr>
      <w:r>
        <w:rPr>
          <w:i/>
          <w:sz w:val="18"/>
        </w:rPr>
        <w:t>Figura 3. Diagrama de secuencia del flujo de leads y del carrito abandonado.</w:t>
      </w:r>
    </w:p>
    <w:p>
      <w:pPr>
        <w:pStyle w:val="normal1"/>
        <w:spacing w:lineRule="auto" w:line="240" w:before="0" w:after="80"/>
        <w:rPr/>
      </w:pPr>
      <w:r>
        <w:rPr/>
      </w:r>
    </w:p>
    <w:p>
      <w:pPr>
        <w:pStyle w:val="normal1"/>
        <w:spacing w:lineRule="auto" w:line="420" w:before="0" w:after="0"/>
        <w:ind w:firstLine="709"/>
        <w:jc w:val="both"/>
        <w:rPr/>
      </w:pPr>
      <w:r>
        <w:rPr>
          <w:rFonts w:eastAsia="Times New Roman" w:cs="Times New Roman"/>
          <w:b w:val="false"/>
          <w:bCs w:val="false"/>
          <w:i w:val="false"/>
          <w:iCs w:val="false"/>
          <w:sz w:val="24"/>
          <w:szCs w:val="24"/>
        </w:rPr>
        <w:t>El módulo de catálogo implementa funcionalidades de filtrado y búsqueda de productos en el lado del cliente. Los datos del catálogo son cargados durante la fase de proceso de build de Vite, en tiempo de compilación. No existe hoy una llamada a una API interna en tiempo de ejecución para esto; esa vía queda identificada como evolución futura si el catálogo necesitara actualizarse sin recompilar. Los datos se almacenan en el estado global gestionado por Zustand. A partir de ese momento, las operaciones de filtrado por categoría, búsqueda por texto y ordenamiento por precio o popularidad se ejecutan localmente sobre el estado en memoria. Esto ofrece una experiencia de filtrado instantánea sin latencia de red perceptible.</w:t>
      </w:r>
    </w:p>
    <w:p>
      <w:pPr>
        <w:pStyle w:val="normal1"/>
        <w:jc w:val="center"/>
        <w:rPr/>
      </w:pPr>
      <w:r>
        <w:rPr/>
        <w:drawing>
          <wp:inline distT="0" distB="0" distL="0" distR="0">
            <wp:extent cx="1884680" cy="4114800"/>
            <wp:effectExtent l="0" t="0" r="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pic:cNvPicPr>
                      <a:picLocks noChangeAspect="1" noChangeArrowheads="1"/>
                    </pic:cNvPicPr>
                  </pic:nvPicPr>
                  <pic:blipFill>
                    <a:blip r:embed="rId4"/>
                    <a:stretch>
                      <a:fillRect/>
                    </a:stretch>
                  </pic:blipFill>
                  <pic:spPr bwMode="auto">
                    <a:xfrm>
                      <a:off x="0" y="0"/>
                      <a:ext cx="1884680" cy="4114800"/>
                    </a:xfrm>
                    <a:prstGeom prst="rect">
                      <a:avLst/>
                    </a:prstGeom>
                    <a:noFill/>
                  </pic:spPr>
                </pic:pic>
              </a:graphicData>
            </a:graphic>
          </wp:inline>
        </w:drawing>
      </w:r>
    </w:p>
    <w:p>
      <w:pPr>
        <w:pStyle w:val="FiguraCaptionIDX"/>
        <w:jc w:val="center"/>
        <w:rPr/>
      </w:pPr>
      <w:r>
        <w:rPr>
          <w:i/>
        </w:rPr>
        <w:t>Figura 4a. Catálogo real (/catalogo) — escritorio.</w:t>
      </w:r>
    </w:p>
    <w:p>
      <w:pPr>
        <w:pStyle w:val="normal1"/>
        <w:jc w:val="center"/>
        <w:rPr/>
      </w:pPr>
      <w:r>
        <w:rPr/>
        <w:drawing>
          <wp:inline distT="0" distB="0" distL="0" distR="0">
            <wp:extent cx="1884680" cy="4114800"/>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noChangeArrowheads="1"/>
                    </pic:cNvPicPr>
                  </pic:nvPicPr>
                  <pic:blipFill>
                    <a:blip r:embed="rId5"/>
                    <a:stretch>
                      <a:fillRect/>
                    </a:stretch>
                  </pic:blipFill>
                  <pic:spPr bwMode="auto">
                    <a:xfrm>
                      <a:off x="0" y="0"/>
                      <a:ext cx="1884680" cy="4114800"/>
                    </a:xfrm>
                    <a:prstGeom prst="rect">
                      <a:avLst/>
                    </a:prstGeom>
                    <a:noFill/>
                  </pic:spPr>
                </pic:pic>
              </a:graphicData>
            </a:graphic>
          </wp:inline>
        </w:drawing>
      </w:r>
    </w:p>
    <w:p>
      <w:pPr>
        <w:pStyle w:val="FiguraCaptionIDX"/>
        <w:jc w:val="center"/>
        <w:rPr/>
      </w:pPr>
      <w:r>
        <w:rPr>
          <w:i/>
        </w:rPr>
        <w:t>Figura 4b. Catálogo real (/catalogo) — móvil.</w:t>
      </w:r>
    </w:p>
    <w:p>
      <w:pPr>
        <w:pStyle w:val="normal1"/>
        <w:jc w:val="center"/>
        <w:rPr/>
      </w:pPr>
      <w:r>
        <w:rPr/>
        <w:drawing>
          <wp:inline distT="0" distB="0" distL="0" distR="0">
            <wp:extent cx="5943600" cy="2900045"/>
            <wp:effectExtent l="0" t="0" r="0" b="0"/>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noChangeArrowheads="1"/>
                    </pic:cNvPicPr>
                  </pic:nvPicPr>
                  <pic:blipFill>
                    <a:blip r:embed="rId6"/>
                    <a:stretch>
                      <a:fillRect/>
                    </a:stretch>
                  </pic:blipFill>
                  <pic:spPr bwMode="auto">
                    <a:xfrm>
                      <a:off x="0" y="0"/>
                      <a:ext cx="5943600" cy="2900045"/>
                    </a:xfrm>
                    <a:prstGeom prst="rect">
                      <a:avLst/>
                    </a:prstGeom>
                    <a:noFill/>
                  </pic:spPr>
                </pic:pic>
              </a:graphicData>
            </a:graphic>
          </wp:inline>
        </w:drawing>
      </w:r>
    </w:p>
    <w:p>
      <w:pPr>
        <w:pStyle w:val="FiguraCaptionIDX"/>
        <w:jc w:val="center"/>
        <w:rPr/>
      </w:pPr>
      <w:r>
        <w:rPr>
          <w:i/>
        </w:rPr>
        <w:t>Figura 4c. Vista Hero del sitio rediseñado (/) — escritorio.</w:t>
      </w:r>
    </w:p>
    <w:p>
      <w:pPr>
        <w:pStyle w:val="normal1"/>
        <w:spacing w:lineRule="auto" w:line="420" w:before="0" w:after="0"/>
        <w:ind w:firstLine="709"/>
        <w:jc w:val="both"/>
        <w:rPr/>
      </w:pPr>
      <w:r>
        <w:rPr>
          <w:rFonts w:eastAsia="Times New Roman" w:cs="Times New Roman"/>
          <w:b w:val="false"/>
          <w:bCs w:val="false"/>
          <w:i w:val="false"/>
          <w:iCs w:val="false"/>
          <w:sz w:val="24"/>
          <w:szCs w:val="24"/>
        </w:rPr>
        <w:t>El sistema de carrito de compras adopta el modelo "Lead-to-Sale": en lugar de redirigir al usuario hacia una pasarela de pago, el carrito funciona como un organizador de intenciones de compra. El usuario puede agregar múltiples productos con sus respectivas cantidades deseadas, revisar el resumen de su selección y, cuando está listo, completar el formulario de solicitud de cotización. La validación del formulario se realiza en el cliente mediante react-hook-form con resolvers de Zod, garantizando que todos los campos obligatorios estén completados y que los datos tengan el formato correcto antes de la transmisión. Esto reduce el número de leads inválidos o incompletos que llegan al sistema.</w:t>
      </w:r>
    </w:p>
    <w:p>
      <w:pPr>
        <w:pStyle w:val="Heading2"/>
        <w:spacing w:lineRule="auto" w:line="420" w:before="280" w:after="80"/>
        <w:jc w:val="start"/>
        <w:rPr/>
      </w:pPr>
      <w:bookmarkStart w:id="25" w:name="__RefHeading___Toc2046_910930204"/>
      <w:bookmarkEnd w:id="25"/>
      <w:r>
        <w:rPr>
          <w:rFonts w:eastAsia="Times New Roman" w:cs="Times New Roman" w:ascii="Times New Roman" w:hAnsi="Times New Roman"/>
          <w:b/>
          <w:bCs/>
          <w:i w:val="false"/>
          <w:iCs w:val="false"/>
          <w:sz w:val="26"/>
          <w:szCs w:val="26"/>
        </w:rPr>
        <w:t>4.3 Implementación de la Capa de Automatización (n8n)</w:t>
      </w:r>
    </w:p>
    <w:p>
      <w:pPr>
        <w:pStyle w:val="normal1"/>
        <w:spacing w:lineRule="auto" w:line="420" w:before="0" w:after="0"/>
        <w:ind w:firstLine="709"/>
        <w:jc w:val="both"/>
        <w:rPr/>
      </w:pPr>
      <w:r>
        <w:rPr>
          <w:rFonts w:eastAsia="Times New Roman" w:cs="Times New Roman"/>
          <w:b w:val="false"/>
          <w:bCs w:val="false"/>
          <w:i w:val="false"/>
          <w:iCs w:val="false"/>
          <w:sz w:val="24"/>
          <w:szCs w:val="24"/>
        </w:rPr>
        <w:t>La capa de automatización desarrollada sobre n8n está compuesta por ocho workflows funcionales independientes (01 a 07, con el módulo 06 dividido en 06a y 06b), más un workflow auxiliar de configuración (_TMP_CreateSocialSheet, utilizado una única vez para crear la planilla de contenido y no contado entre los ocho funcionales). Esto totaliza los nueve archivos JSON exportados que se anexan en el Anexo J. Cada workflow encapsula una responsabilidad de negocio específica y se ejecuta de manera independiente de los demás: no existe un orquestador central que los encadene. La arquitectura completa de flujos se documenta con capturas de pantalla en el Anexo G.</w:t>
      </w:r>
    </w:p>
    <w:p>
      <w:pPr>
        <w:pStyle w:val="normal1"/>
        <w:spacing w:lineRule="auto" w:line="420" w:before="0" w:after="0"/>
        <w:ind w:firstLine="709"/>
        <w:jc w:val="both"/>
        <w:rPr/>
      </w:pPr>
      <w:r>
        <w:rPr>
          <w:rFonts w:eastAsia="Times New Roman" w:cs="Times New Roman"/>
          <w:b w:val="false"/>
          <w:bCs w:val="false"/>
          <w:i w:val="false"/>
          <w:iCs w:val="false"/>
          <w:sz w:val="24"/>
          <w:szCs w:val="24"/>
        </w:rPr>
        <w:t>Un criterio de diseño transversal atraviesa los ocho workflows y condiciona la lectura de todo este capítulo: cada flujo está construido en dos ramas explícitamente separadas y rotuladas dentro del propio lienzo de n8n mediante notas adhesivas (sticky notes). La rama TESIS es la que efectivamente se ejecutó y produjo los resultados reportados en el Capítulo 5. Opera sobre datos simulados o sobre la API real del backend, y resuelve la generación de contenido con nodos Code deterministas, entregando su salida por Gmail o escribiéndola en Google Sheets. La rama PRODUCCIÓN está presente en los archivos JSON pero con todos sus nodos deshabilitados: contiene las integraciones con servicios de pago o de acceso restringido (Google Gemini, DALL-E, SendGrid, Meta Graph API, WhatsApp Business API, PDFMonkey). Estas integraciones constituyen el diseño previsto para un despliegue real, pero no se activaron en este trabajo. Esta separación es consecuencia directa de las restricciones declaradas en la sección 1.7: ausencia de presupuesto para APIs pagas y ausencia de acceso a las cuentas productivas de la empresa. En consecuencia, toda afirmación de resultado de este trabajo se refiere a la rama TESIS, y la rama PRODUCCIÓN se documenta como diseño no ejecutado.</w:t>
      </w:r>
    </w:p>
    <w:p>
      <w:pPr>
        <w:pStyle w:val="normal1"/>
        <w:jc w:val="center"/>
        <w:rPr/>
      </w:pPr>
      <w:r>
        <w:rPr/>
        <w:drawing>
          <wp:inline distT="0" distB="0" distL="0" distR="0">
            <wp:extent cx="5760720" cy="4462780"/>
            <wp:effectExtent l="0" t="0" r="0" b="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pic:cNvPicPr>
                      <a:picLocks noChangeAspect="1" noChangeArrowheads="1"/>
                    </pic:cNvPicPr>
                  </pic:nvPicPr>
                  <pic:blipFill>
                    <a:blip r:embed="rId7"/>
                    <a:stretch>
                      <a:fillRect/>
                    </a:stretch>
                  </pic:blipFill>
                  <pic:spPr bwMode="auto">
                    <a:xfrm>
                      <a:off x="0" y="0"/>
                      <a:ext cx="5760720" cy="4462780"/>
                    </a:xfrm>
                    <a:prstGeom prst="rect">
                      <a:avLst/>
                    </a:prstGeom>
                    <a:noFill/>
                  </pic:spPr>
                </pic:pic>
              </a:graphicData>
            </a:graphic>
          </wp:inline>
        </w:drawing>
      </w:r>
    </w:p>
    <w:p>
      <w:pPr>
        <w:pStyle w:val="FiguraCaptionIDX"/>
        <w:jc w:val="center"/>
        <w:rPr/>
      </w:pPr>
      <w:r>
        <w:rPr>
          <w:i/>
        </w:rPr>
        <w:t>Figura 5a. Captura real de un workflow importado en la instancia de n8n (Social Media Content Engine).</w:t>
      </w:r>
    </w:p>
    <w:p>
      <w:pPr>
        <w:pStyle w:val="normal1"/>
        <w:jc w:val="center"/>
        <w:rPr/>
      </w:pPr>
      <w:r>
        <w:rPr/>
        <w:drawing>
          <wp:inline distT="0" distB="0" distL="0" distR="0">
            <wp:extent cx="5760720" cy="378142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8"/>
                    <a:stretch>
                      <a:fillRect/>
                    </a:stretch>
                  </pic:blipFill>
                  <pic:spPr bwMode="auto">
                    <a:xfrm>
                      <a:off x="0" y="0"/>
                      <a:ext cx="5760720" cy="3781425"/>
                    </a:xfrm>
                    <a:prstGeom prst="rect">
                      <a:avLst/>
                    </a:prstGeom>
                    <a:noFill/>
                  </pic:spPr>
                </pic:pic>
              </a:graphicData>
            </a:graphic>
          </wp:inline>
        </w:drawing>
      </w:r>
    </w:p>
    <w:p>
      <w:pPr>
        <w:pStyle w:val="FiguraCaptionIDX"/>
        <w:jc w:val="center"/>
        <w:rPr/>
      </w:pPr>
      <w:r>
        <w:rPr>
          <w:i/>
        </w:rPr>
        <w:t>Figura 5b. Captura real de un workflow importado en la instancia de n8n (07. Logistics &amp; Shipping Automation).</w:t>
      </w:r>
    </w:p>
    <w:p>
      <w:pPr>
        <w:pStyle w:val="normal1"/>
        <w:jc w:val="center"/>
        <w:rPr/>
      </w:pPr>
      <w:r>
        <w:rPr/>
        <w:drawing>
          <wp:inline distT="0" distB="0" distL="0" distR="0">
            <wp:extent cx="5760720" cy="4201795"/>
            <wp:effectExtent l="0" t="0" r="0" b="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a:picLocks noChangeAspect="1" noChangeArrowheads="1"/>
                    </pic:cNvPicPr>
                  </pic:nvPicPr>
                  <pic:blipFill>
                    <a:blip r:embed="rId9"/>
                    <a:stretch>
                      <a:fillRect/>
                    </a:stretch>
                  </pic:blipFill>
                  <pic:spPr bwMode="auto">
                    <a:xfrm>
                      <a:off x="0" y="0"/>
                      <a:ext cx="5760720" cy="4201795"/>
                    </a:xfrm>
                    <a:prstGeom prst="rect">
                      <a:avLst/>
                    </a:prstGeom>
                    <a:noFill/>
                  </pic:spPr>
                </pic:pic>
              </a:graphicData>
            </a:graphic>
          </wp:inline>
        </w:drawing>
      </w:r>
    </w:p>
    <w:p>
      <w:pPr>
        <w:pStyle w:val="FiguraCaptionIDX"/>
        <w:jc w:val="center"/>
        <w:rPr/>
      </w:pPr>
      <w:r>
        <w:rPr>
          <w:i/>
        </w:rPr>
        <w:t>Figura 5c. Captura real de un workflow importado en la instancia de n8n (06b. Carrito Abandonado).</w:t>
      </w:r>
    </w:p>
    <w:p>
      <w:pPr>
        <w:pStyle w:val="normal1"/>
        <w:jc w:val="center"/>
        <w:rPr/>
      </w:pPr>
      <w:r>
        <w:rPr/>
        <w:drawing>
          <wp:inline distT="0" distB="0" distL="0" distR="0">
            <wp:extent cx="5760720" cy="4236085"/>
            <wp:effectExtent l="0" t="0" r="0" b="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pic:cNvPicPr>
                      <a:picLocks noChangeAspect="1" noChangeArrowheads="1"/>
                    </pic:cNvPicPr>
                  </pic:nvPicPr>
                  <pic:blipFill>
                    <a:blip r:embed="rId10"/>
                    <a:stretch>
                      <a:fillRect/>
                    </a:stretch>
                  </pic:blipFill>
                  <pic:spPr bwMode="auto">
                    <a:xfrm>
                      <a:off x="0" y="0"/>
                      <a:ext cx="5760720" cy="4236085"/>
                    </a:xfrm>
                    <a:prstGeom prst="rect">
                      <a:avLst/>
                    </a:prstGeom>
                    <a:noFill/>
                  </pic:spPr>
                </pic:pic>
              </a:graphicData>
            </a:graphic>
          </wp:inline>
        </w:drawing>
      </w:r>
    </w:p>
    <w:p>
      <w:pPr>
        <w:pStyle w:val="FiguraCaptionIDX"/>
        <w:jc w:val="center"/>
        <w:rPr/>
      </w:pPr>
      <w:r>
        <w:rPr>
          <w:i/>
        </w:rPr>
        <w:t>Figura 5d. Captura real de un workflow importado en la instancia de n8n (03. Google Maps Review Management). El resto de los workflows reales se documenta en el Anexo G.</w:t>
      </w:r>
    </w:p>
    <w:p>
      <w:pPr>
        <w:pStyle w:val="normal1"/>
        <w:spacing w:lineRule="auto" w:line="420" w:before="0" w:after="0"/>
        <w:ind w:firstLine="709"/>
        <w:jc w:val="both"/>
        <w:rPr/>
      </w:pPr>
      <w:r>
        <w:rPr>
          <w:rFonts w:eastAsia="Times New Roman" w:cs="Times New Roman"/>
          <w:b/>
          <w:bCs/>
          <w:i w:val="false"/>
          <w:iCs w:val="false"/>
          <w:sz w:val="24"/>
          <w:szCs w:val="24"/>
        </w:rPr>
        <w:t>Workflow 01 — Automated Branding</w:t>
      </w:r>
    </w:p>
    <w:p>
      <w:pPr>
        <w:pStyle w:val="normal1"/>
        <w:spacing w:lineRule="auto" w:line="420" w:before="0" w:after="0"/>
        <w:ind w:firstLine="709"/>
        <w:jc w:val="both"/>
        <w:rPr/>
      </w:pPr>
      <w:r>
        <w:rPr>
          <w:rFonts w:eastAsia="Times New Roman" w:cs="Times New Roman"/>
          <w:b w:val="false"/>
          <w:bCs w:val="false"/>
          <w:i w:val="false"/>
          <w:iCs w:val="false"/>
          <w:sz w:val="24"/>
          <w:szCs w:val="24"/>
        </w:rPr>
        <w:t>Extrae la identidad visual de un sitio web para derivar de ella la paleta de marca. La rama TESIS: Form Trigger (más Manual Trigger y un nodo Set con la URL objetivo) → un nodo Puppeteer descarga el HTML renderizado → un nodo Code extrae y ordena por frecuencia los colores de hojas de estilo y atributos inline → un nodo Gmail entrega el resultado. El Schedule Trigger mensual existe en el lienzo pero permanece deshabilitado, ya que esa cadencia no aporta valor en el horizonte de prueba. La paleta resultante es el único punto de acoplamiento entre workflows: alimenta al motor de contenido de redes sociales descrito a continuación.</w:t>
      </w:r>
    </w:p>
    <w:p>
      <w:pPr>
        <w:pStyle w:val="normal1"/>
        <w:spacing w:lineRule="auto" w:line="420" w:before="0" w:after="0"/>
        <w:ind w:firstLine="709"/>
        <w:jc w:val="both"/>
        <w:rPr/>
      </w:pPr>
      <w:r>
        <w:rPr>
          <w:rFonts w:eastAsia="Times New Roman" w:cs="Times New Roman"/>
          <w:b/>
          <w:bCs/>
          <w:i w:val="false"/>
          <w:iCs w:val="false"/>
          <w:sz w:val="24"/>
          <w:szCs w:val="24"/>
        </w:rPr>
        <w:t>Workflow 02 — Website Health &amp; SEO Monitor</w:t>
      </w:r>
    </w:p>
    <w:p>
      <w:pPr>
        <w:pStyle w:val="normal1"/>
        <w:spacing w:lineRule="auto" w:line="420" w:before="0" w:after="0"/>
        <w:ind w:firstLine="709"/>
        <w:jc w:val="both"/>
        <w:rPr/>
      </w:pPr>
      <w:r>
        <w:rPr>
          <w:rFonts w:eastAsia="Times New Roman" w:cs="Times New Roman"/>
          <w:b w:val="false"/>
          <w:bCs w:val="false"/>
          <w:i w:val="false"/>
          <w:iCs w:val="false"/>
          <w:sz w:val="24"/>
          <w:szCs w:val="24"/>
        </w:rPr>
        <w:t>Audita periódicamente la salud técnica y el posicionamiento del sitio. Rama TESIS: Manual Trigger + Cron diario → nodo Set de configuración → dos nodos HTTP Request paralelos (móvil y escritorio) contra la API pública de Google PageSpeed Insights, combinados en un nodo Merge; un nodo Wait espacia las llamadas para respetar el límite de tasa gratuito. Un nodo Code arma el reporte en español y un nodo IF bifurca hacia Gmail de alerta o de registro normal según el puntaje agregado esté por debajo de 80. En paralelo, un nodo HTTP Request descarga el HTML del sitio y un nodo Code verifica elementos básicos de SEO on-page. La rama PRODUCCIÓN, deshabilitada, prevé leer URLs desde Google Sheets, registrar la serie histórica de puntajes y generar/archivar un reporte PDF en Google Drive.</w:t>
      </w:r>
    </w:p>
    <w:p>
      <w:pPr>
        <w:pStyle w:val="normal1"/>
        <w:spacing w:lineRule="auto" w:line="420" w:before="0" w:after="0"/>
        <w:ind w:firstLine="709"/>
        <w:jc w:val="both"/>
        <w:rPr/>
      </w:pPr>
      <w:r>
        <w:rPr>
          <w:rFonts w:eastAsia="Times New Roman" w:cs="Times New Roman"/>
          <w:b/>
          <w:bCs/>
          <w:i w:val="false"/>
          <w:iCs w:val="false"/>
          <w:sz w:val="24"/>
          <w:szCs w:val="24"/>
        </w:rPr>
        <w:t>Workflow 03 — Google Maps Review Management</w:t>
      </w:r>
    </w:p>
    <w:p>
      <w:pPr>
        <w:pStyle w:val="normal1"/>
        <w:spacing w:lineRule="auto" w:line="420" w:before="0" w:after="0"/>
        <w:ind w:firstLine="709"/>
        <w:jc w:val="both"/>
        <w:rPr/>
      </w:pPr>
      <w:r>
        <w:rPr>
          <w:rFonts w:eastAsia="Times New Roman" w:cs="Times New Roman"/>
          <w:b w:val="false"/>
          <w:bCs w:val="false"/>
          <w:i w:val="false"/>
          <w:iCs w:val="false"/>
          <w:sz w:val="24"/>
          <w:szCs w:val="24"/>
        </w:rPr>
        <w:t>Gestiona la reputación online en Google Maps, disparado por un Schedule Trigger cada seis horas. Dado que la Places API de Google requiere facturación habilitada y no hay acceso a la ficha real de la empresa, la rama TESIS sustituye la obtención de reseñas por un nodo Code [TESIS] Mock Reviews con reseñas sintéticas representativas. Un segundo nodo Code aplica análisis de sentimiento basado en reglas (conteo ponderado de polaridad positiva/negativa) y un tercero construye el correo consolidado que entrega un nodo Gmail. Deshabilitados en el lienzo: la consulta HTTP real a la API de reseñas, la publicación automática de respuestas a reseñas positivas y la alerta por correo ante negativas. Un nodo NoOp [DISABLED] Would Auto-Reply deja explícito dónde ocurriría la respuesta automática en producción.</w:t>
      </w:r>
    </w:p>
    <w:p>
      <w:pPr>
        <w:pStyle w:val="normal1"/>
        <w:spacing w:lineRule="auto" w:line="420" w:before="0" w:after="0"/>
        <w:ind w:firstLine="709"/>
        <w:jc w:val="both"/>
        <w:rPr/>
      </w:pPr>
      <w:r>
        <w:rPr>
          <w:rFonts w:eastAsia="Times New Roman" w:cs="Times New Roman"/>
          <w:b/>
          <w:bCs/>
          <w:i w:val="false"/>
          <w:iCs w:val="false"/>
          <w:sz w:val="24"/>
          <w:szCs w:val="24"/>
        </w:rPr>
        <w:t>Workflow 04 — Social Media Content Engine</w:t>
      </w:r>
    </w:p>
    <w:p>
      <w:pPr>
        <w:pStyle w:val="normal1"/>
        <w:spacing w:lineRule="auto" w:line="420" w:before="0" w:after="0"/>
        <w:ind w:firstLine="709"/>
        <w:jc w:val="both"/>
        <w:rPr/>
      </w:pPr>
      <w:r>
        <w:rPr>
          <w:rFonts w:eastAsia="Times New Roman" w:cs="Times New Roman"/>
          <w:b w:val="false"/>
          <w:bCs w:val="false"/>
          <w:i w:val="false"/>
          <w:iCs w:val="false"/>
          <w:sz w:val="24"/>
          <w:szCs w:val="24"/>
        </w:rPr>
        <w:t>Genera contenido para redes sociales a partir de la información de producto. La rama TESIS admite dos entradas resueltas por un nodo IF: un Form Trigger para carga manual de un producto puntual, y un Manual Trigger que lee un lote desde Google Sheets. Ambas se homogeneizan en nodos Set. Luego: un nodo Code resuelve la imagen de acompañamiento (banco de imágenes libre), otro genera los hashtags por reglas derivadas de la línea de producto, y un tercero formatea el texto final por plataforma. Un nodo IF final decide el destino: Gmail al equipo de marketing para revisión, o Google Sheets a la planilla de contenido programado. La rama PRODUCCIÓN, íntegramente deshabilitada, prevé un Webhook, un AI Agent sobre Google Gemini con Structured Output Parser para el copy, generación de pieza gráfica con DALL-E, y publicación vía HTTP Request contra Instagram, Facebook y WhatsApp. Importante para la lectura del Capítulo 5: la publicación automática pertenece íntegramente a esta rama no ejecutada — lo medido es la generación de contenido y su entrega por correo o planilla, no su publicación.</w:t>
      </w:r>
    </w:p>
    <w:p>
      <w:pPr>
        <w:pStyle w:val="normal1"/>
        <w:spacing w:lineRule="auto" w:line="420" w:before="0" w:after="0"/>
        <w:ind w:firstLine="709"/>
        <w:jc w:val="both"/>
        <w:rPr/>
      </w:pPr>
      <w:r>
        <w:rPr>
          <w:rFonts w:eastAsia="Times New Roman" w:cs="Times New Roman"/>
          <w:b/>
          <w:bCs/>
          <w:i w:val="false"/>
          <w:iCs w:val="false"/>
          <w:sz w:val="24"/>
          <w:szCs w:val="24"/>
        </w:rPr>
        <w:t>Workflow 05 — Monthly Activity Report</w:t>
      </w:r>
    </w:p>
    <w:p>
      <w:pPr>
        <w:pStyle w:val="normal1"/>
        <w:spacing w:lineRule="auto" w:line="420" w:before="0" w:after="0"/>
        <w:ind w:firstLine="709"/>
        <w:jc w:val="both"/>
        <w:rPr/>
      </w:pPr>
      <w:r>
        <w:rPr>
          <w:rFonts w:eastAsia="Times New Roman" w:cs="Times New Roman"/>
          <w:b w:val="false"/>
          <w:bCs w:val="false"/>
          <w:i w:val="false"/>
          <w:iCs w:val="false"/>
          <w:sz w:val="24"/>
          <w:szCs w:val="24"/>
        </w:rPr>
        <w:t>Produce el reporte mensual de actividad comercial, disparado el primer día de cada mes a las 08:00 (Schedule Trigger, con Manual Trigger para pruebas). Dos nodos HTTP Request consultan en paralelo GET /stats/monthly y GET /orders del backend, convergiendo en un nodo Merge. Discrepancia real de configuración: ambos nodos apuntan a http://golden_harvest_api:8000, host y puerto que no corresponden al servicio backend (puerto 3001) definido en docker-compose.yml — esta lectura no quedó verificada de punta a punta contra el backend real. Un nodo Code compone el reporte en español (cotizaciones, pedidos y productos más consultados) y un nodo Gmail lo distribuye. La rama PRODUCCIÓN prevé incorporar métricas de Google Analytics 4 vía HTTP Request, hoy deshabilitado por no disponerse de una propiedad GA4 sobre el sitio real.</w:t>
      </w:r>
    </w:p>
    <w:p>
      <w:pPr>
        <w:pStyle w:val="normal1"/>
        <w:spacing w:lineRule="auto" w:line="420" w:before="0" w:after="0"/>
        <w:ind w:firstLine="709"/>
        <w:jc w:val="both"/>
        <w:rPr/>
      </w:pPr>
      <w:r>
        <w:rPr>
          <w:rFonts w:eastAsia="Times New Roman" w:cs="Times New Roman"/>
          <w:b/>
          <w:bCs/>
          <w:i w:val="false"/>
          <w:iCs w:val="false"/>
          <w:sz w:val="24"/>
          <w:szCs w:val="24"/>
        </w:rPr>
        <w:t>Workflow 06a — Newsletter Quincenal</w:t>
      </w:r>
    </w:p>
    <w:p>
      <w:pPr>
        <w:pStyle w:val="normal1"/>
        <w:spacing w:lineRule="auto" w:line="420" w:before="0" w:after="0"/>
        <w:ind w:firstLine="709"/>
        <w:jc w:val="both"/>
        <w:rPr/>
      </w:pPr>
      <w:r>
        <w:rPr>
          <w:rFonts w:eastAsia="Times New Roman" w:cs="Times New Roman"/>
          <w:b w:val="false"/>
          <w:bCs w:val="false"/>
          <w:i w:val="false"/>
          <w:iCs w:val="false"/>
          <w:sz w:val="24"/>
          <w:szCs w:val="24"/>
        </w:rPr>
        <w:t>Elabora y envía el boletín periódico a los suscriptores. Rama TESIS: un Manual Trigger inicia la ejecución y un nodo HTTP Request obtiene una base de suscriptores simulada desde jsonplaceholder.typicode.com (endpoint /users) — no un endpoint propio del backend, que no expone rutas de datos mock. Un nodo Code segmenta la audiencia por perfil e historial declarado, otro arma el cuerpo HTML del boletín, y un nodo Limit restringe el envío a un único destinatario para no generar correo no solicitado. Un nodo Gmail lo despacha. La rama PRODUCCIÓN, deshabilitada, prevé Schedule Trigger quincenal (días 1 y 15), lectura de la base real desde Google Sheets, redacción vía AI Agent sobre Google Gemini, y registro del envío en una planilla de control.</w:t>
      </w:r>
    </w:p>
    <w:p>
      <w:pPr>
        <w:pStyle w:val="normal1"/>
        <w:spacing w:lineRule="auto" w:line="420" w:before="0" w:after="0"/>
        <w:ind w:firstLine="709"/>
        <w:jc w:val="both"/>
        <w:rPr/>
      </w:pPr>
      <w:r>
        <w:rPr>
          <w:rFonts w:eastAsia="Times New Roman" w:cs="Times New Roman"/>
          <w:b/>
          <w:bCs/>
          <w:i w:val="false"/>
          <w:iCs w:val="false"/>
          <w:sz w:val="24"/>
          <w:szCs w:val="24"/>
        </w:rPr>
        <w:t>Workflow 06b — Carrito Abandonado</w:t>
      </w:r>
    </w:p>
    <w:p>
      <w:pPr>
        <w:pStyle w:val="normal1"/>
        <w:spacing w:lineRule="auto" w:line="420" w:before="0" w:after="0"/>
        <w:ind w:firstLine="709"/>
        <w:jc w:val="both"/>
        <w:rPr/>
      </w:pPr>
      <w:r>
        <w:rPr>
          <w:rFonts w:eastAsia="Times New Roman" w:cs="Times New Roman"/>
          <w:b w:val="false"/>
          <w:bCs w:val="false"/>
          <w:i w:val="false"/>
          <w:iCs w:val="false"/>
          <w:sz w:val="24"/>
          <w:szCs w:val="24"/>
        </w:rPr>
        <w:t>Recupera carritos abandonados mediante un incentivo de descuento. Rama TESIS: Manual Trigger + nodo Webhook de prueba; un nodo HTTP Request recupera carritos sin conversión simulados desde jsonplaceholder.typicode.com (endpoint /posts) — no un endpoint propio del backend, que no expone rutas mock; un nodo Code agrupa ítems por cliente y otro redacta el correo con la oferta. Igual que en el boletín, un nodo Limit acota el envío a un destinatario antes del despacho por Gmail. La rama PRODUCCIÓN, deshabilitada, prevé: Webhook disparado por el frontend ante inactividad detectada, un Wait de dos horas, verificación contra el CRM para descartar compras en el ínterin, redacción vía AI Agent sobre Google Gemini, envío transaccional vía SendGrid y registro del seguimiento en el CRM.</w:t>
      </w:r>
    </w:p>
    <w:p>
      <w:pPr>
        <w:pStyle w:val="normal1"/>
        <w:spacing w:lineRule="auto" w:line="420" w:before="0" w:after="0"/>
        <w:ind w:firstLine="709"/>
        <w:jc w:val="both"/>
        <w:rPr/>
      </w:pPr>
      <w:r>
        <w:rPr>
          <w:rFonts w:eastAsia="Times New Roman" w:cs="Times New Roman"/>
          <w:b/>
          <w:bCs/>
          <w:i w:val="false"/>
          <w:iCs w:val="false"/>
          <w:sz w:val="24"/>
          <w:szCs w:val="24"/>
        </w:rPr>
        <w:t>Workflow 07 — Logistics &amp; Shipping Automation</w:t>
      </w:r>
    </w:p>
    <w:p>
      <w:pPr>
        <w:pStyle w:val="normal1"/>
        <w:spacing w:lineRule="auto" w:line="420" w:before="0" w:after="0"/>
        <w:ind w:firstLine="709"/>
        <w:jc w:val="both"/>
        <w:rPr/>
      </w:pPr>
      <w:r>
        <w:rPr>
          <w:rFonts w:eastAsia="Times New Roman" w:cs="Times New Roman"/>
          <w:b w:val="false"/>
          <w:bCs w:val="false"/>
          <w:i w:val="false"/>
          <w:iCs w:val="false"/>
          <w:sz w:val="24"/>
          <w:szCs w:val="24"/>
        </w:rPr>
        <w:t>Genera la documentación de despacho a partir de los pedidos confirmados. Rama TESIS: Manual Trigger → un nodo HTTP Request diseñado para obtener las órdenes confirmadas (GET /orders) → un nodo Code limita el lote a tres órdenes para acotar la demostración → un segundo nodo Code compone el remito y el resumen de despacho en HTML, entregado por Gmail al área de logística. Igual que en el workflow 05, este HTTP Request apunta a http://golden_harvest_api:8000/orders, host inexistente en docker-compose.yml (el servicio real es backend, puerto 3001) — esta lectura tampoco quedó verificada de punta a punta. La rama PRODUCCIÓN, deshabilitada, prevé: disparo por Webhook al confirmar el pedido, generación del remito y etiqueta como PDF vía PDFMonkey (nodo deshabilitado, credencial sin configurar), solicitud de número de seguimiento al transportista, y correo de confirmación al cliente. La generación de PDF corresponde, por lo tanto, al diseño de producción: lo ejecutado y medido en el Capítulo 5 es la composición del remito y su entrega por correo.</w:t>
      </w:r>
    </w:p>
    <w:p>
      <w:pPr>
        <w:pStyle w:val="normal1"/>
        <w:spacing w:lineRule="auto" w:line="420" w:before="0" w:after="0"/>
        <w:ind w:firstLine="709"/>
        <w:jc w:val="both"/>
        <w:rPr/>
      </w:pPr>
      <w:r>
        <w:rPr>
          <w:rFonts w:eastAsia="Times New Roman" w:cs="Times New Roman"/>
          <w:b/>
          <w:bCs/>
          <w:i w:val="false"/>
          <w:iCs w:val="false"/>
          <w:sz w:val="24"/>
          <w:szCs w:val="24"/>
        </w:rPr>
        <w:t>Procesamiento de solicitudes de cotización (leads)</w:t>
      </w:r>
    </w:p>
    <w:p>
      <w:pPr>
        <w:pStyle w:val="normal1"/>
        <w:spacing w:lineRule="auto" w:line="420" w:before="0" w:after="0"/>
        <w:ind w:firstLine="709"/>
        <w:jc w:val="both"/>
        <w:rPr/>
      </w:pPr>
      <w:r>
        <w:rPr>
          <w:rFonts w:eastAsia="Times New Roman" w:cs="Times New Roman"/>
          <w:b w:val="false"/>
          <w:bCs w:val="false"/>
          <w:i w:val="false"/>
          <w:iCs w:val="false"/>
          <w:sz w:val="24"/>
          <w:szCs w:val="24"/>
        </w:rPr>
        <w:t>Corresponde señalar explícitamente, para evitar una atribución equivocada de responsabilidades entre capas, que el procesamiento de las solicitudes de cotización no está implementado como un workflow de n8n. Entre los nueve archivos JSON exportados que constituyen los artefactos entregados de este trabajo no existe ningún workflow que reciba el webhook de cotización. La recepción del formulario, la validación del payload mediante esquemas Zod, el upsert del cliente y la persistencia de la cotización en PostgreSQL a través de Prisma son responsabilidad íntegra del backend Express, en el endpoint POST /api/quotes descrito en la Capa 2 de la arquitectura (§4.1). El backend dispara además, de forma asíncrona y sin bloquear la respuesta al usuario, los webhooks declarados en las variables N8N_QUOTE_WEBHOOK, N8N_ABANDONED_WEBHOOK y N8N_LOGISTICS_WEBHOOK (Anexo H). Estos webhooks dejan preparado el punto de integración para los flujos de notificación previstos en el diseño de producción. Esta decisión —concentrar la validación y la escritura en el backend, y reservar n8n para la orquestación de automatizaciones periféricas que leen de la API— es deliberada. Mantiene una única fuente de verdad transaccional y evita que la disponibilidad del orquestador condicione la captación de un lead.</w:t>
      </w:r>
    </w:p>
    <w:p>
      <w:pPr>
        <w:pStyle w:val="Heading2"/>
        <w:spacing w:lineRule="auto" w:line="420" w:before="280" w:after="80"/>
        <w:jc w:val="start"/>
        <w:rPr/>
      </w:pPr>
      <w:bookmarkStart w:id="26" w:name="__RefHeading___Toc2048_910930204"/>
      <w:bookmarkEnd w:id="26"/>
      <w:r>
        <w:rPr>
          <w:rFonts w:eastAsia="Times New Roman" w:cs="Times New Roman" w:ascii="Times New Roman" w:hAnsi="Times New Roman"/>
          <w:b/>
          <w:bCs/>
          <w:i w:val="false"/>
          <w:iCs w:val="false"/>
          <w:sz w:val="26"/>
          <w:szCs w:val="26"/>
        </w:rPr>
        <w:t>4.4 Seguridad del ecosistema</w:t>
      </w:r>
    </w:p>
    <w:p>
      <w:pPr>
        <w:pStyle w:val="normal1"/>
        <w:spacing w:lineRule="auto" w:line="420" w:before="0" w:after="0"/>
        <w:ind w:firstLine="709"/>
        <w:jc w:val="both"/>
        <w:rPr/>
      </w:pPr>
      <w:r>
        <w:rPr>
          <w:rFonts w:eastAsia="Times New Roman" w:cs="Times New Roman"/>
          <w:b w:val="false"/>
          <w:bCs w:val="false"/>
          <w:i w:val="false"/>
          <w:iCs w:val="false"/>
          <w:sz w:val="24"/>
          <w:szCs w:val="24"/>
        </w:rPr>
        <w:t>La seguridad del ecosistema es una dimensión crítica que fue diseñada de manera transversal a todos los componentes del sistema. Se implementaron los siguientes controles de seguridad:</w:t>
      </w:r>
    </w:p>
    <w:p>
      <w:pPr>
        <w:pStyle w:val="normal1"/>
        <w:spacing w:lineRule="auto" w:line="420" w:before="0" w:after="0"/>
        <w:ind w:firstLine="709"/>
        <w:jc w:val="both"/>
        <w:rPr/>
      </w:pPr>
      <w:r>
        <w:rPr>
          <w:rFonts w:eastAsia="Times New Roman" w:cs="Times New Roman"/>
          <w:b w:val="false"/>
          <w:bCs w:val="false"/>
          <w:i w:val="false"/>
          <w:iCs w:val="false"/>
          <w:sz w:val="24"/>
          <w:szCs w:val="24"/>
        </w:rPr>
        <w:t>Autenticación del endpoint de cotización: El endpoint público POST /api/quotes del backend, que recibe la solicitud de cotización antes de disparar el webhook hacia n8n, no cuenta hoy con un control de autenticación del lado del servidor más allá de la restricción de CORS descrita a continuación. Se reconoce esto como una limitación real de la implementación actual, no como un control ya resuelto. Los mecanismos que corresponden para cerrarla —rate limiting por IP/sesión, validación de los headers Origin/Referer, y un campo honeypot oculto en el formulario para descartar envíos automatizados— quedan identificados como trabajo futuro de prioridad alta (ver sección 6.4), y no como funcionalidad ya implementada.</w:t>
      </w:r>
    </w:p>
    <w:p>
      <w:pPr>
        <w:pStyle w:val="normal1"/>
        <w:spacing w:lineRule="auto" w:line="420" w:before="0" w:after="0"/>
        <w:ind w:firstLine="709"/>
        <w:jc w:val="both"/>
        <w:rPr/>
      </w:pPr>
      <w:r>
        <w:rPr>
          <w:rFonts w:eastAsia="Times New Roman" w:cs="Times New Roman"/>
          <w:b w:val="false"/>
          <w:bCs w:val="false"/>
          <w:i w:val="false"/>
          <w:iCs w:val="false"/>
          <w:sz w:val="24"/>
          <w:szCs w:val="24"/>
        </w:rPr>
        <w:t>Validación de inputs y defensa contra inyección: Todos los campos del formulario de cotización son validados en el cliente mediante Zod (longitud máxima, formato de email y teléfono, caracteres permitidos) antes de ser enviados. La validación del cliente, sin embargo, es sólo una barrera de usabilidad, trivialmente evitable por cualquier cliente HTTP. La validación con autoridad se ejecuta nuevamente en el servidor, mediante esquemas Zod en el endpoint POST /api/quotes del backend, que rechaza con un código 400 todo payload que no se ajuste al esquema. La defensa real contra inyección SQL no es, en ningún caso, la sanitización de caracteres —que solo acota longitud y formato como primera barrera—, sino el uso de consultas parametrizadas a través del ORM Prisma en el backend, que nunca concatena valores de entrada directamente en sentencias SQL.</w:t>
      </w:r>
    </w:p>
    <w:p>
      <w:pPr>
        <w:pStyle w:val="normal1"/>
        <w:spacing w:lineRule="auto" w:line="420" w:before="0" w:after="0"/>
        <w:ind w:firstLine="709"/>
        <w:jc w:val="both"/>
        <w:rPr/>
      </w:pPr>
      <w:r>
        <w:rPr>
          <w:rFonts w:eastAsia="Times New Roman" w:cs="Times New Roman"/>
          <w:b w:val="false"/>
          <w:bCs w:val="false"/>
          <w:i w:val="false"/>
          <w:iCs w:val="false"/>
          <w:sz w:val="24"/>
          <w:szCs w:val="24"/>
        </w:rPr>
        <w:t>Gestión de secretos: Las cadenas de conexión a la base de datos, la clave de firma de los tokens JWT del panel administrativo, las URL de los webhooks de n8n y la clave maestra de cifrado de n8n se gestionan mediante variables de entorno declaradas en Docker Compose y nunca se incluyen en el repositorio de código fuente. El Anexo H documenta el inventario completo de variables reales y el proceso de configuración segura. Cada servicio lee su propio archivo .env local, ausente del control de versiones mediante .gitignore, a partir de un .env.example versionado sin valores reales. En cuanto a las credenciales de servicios externos, corresponde distinguir las que están efectivamente en uso de las que pertenecen al diseño de producción no activado. Los workflows de la rama TESIS utilizan credenciales OAuth2 de Gmail —para la entrega de reportes, alertas, boletines y remitos— y OAuth2 de Google Sheets, además del acceso sin credencial a la API pública de PageSpeed Insights y a un banco de imágenes libre. Estas credenciales se almacenan en el gestor interno de n8n, cifrado en reposo mediante la variable N8N_ENCRYPTION_KEY. Las credenciales de Meta Graph API, WhatsApp Business API, TikTok, SendGrid, Google Gemini, OpenAI y PDFMonkey no están configuradas en la instancia, dado que los nodos que las consumirían pertenecen a las ramas PRODUCCIÓN deshabilitadas descritas en §4.3. Su provisión queda documentada como requisito de un despliegue productivo futuro.</w:t>
      </w:r>
    </w:p>
    <w:p>
      <w:pPr>
        <w:pStyle w:val="normal1"/>
        <w:spacing w:lineRule="auto" w:line="420" w:before="0" w:after="0"/>
        <w:ind w:firstLine="709"/>
        <w:jc w:val="both"/>
        <w:rPr/>
      </w:pPr>
      <w:r>
        <w:rPr>
          <w:rFonts w:eastAsia="Times New Roman" w:cs="Times New Roman"/>
          <w:b w:val="false"/>
          <w:bCs w:val="false"/>
          <w:i w:val="false"/>
          <w:iCs w:val="false"/>
          <w:sz w:val="24"/>
          <w:szCs w:val="24"/>
        </w:rPr>
        <w:t>Configuración de CORS: El backend Express aplica el middleware cors con el origen restringido mediante una expresión regular a http://localhost:&lt;puerto&gt;, rechazando solicitudes de origen cruzado no autorizado. La terminación SSL/TLS mediante un proxy inverso (Nginx u otro) con certificados Let's Encrypt no está implementada en el entorno de staging descrito en este trabajo. Queda identificada, junto con el punto anterior, como trabajo futuro para el despliegue en producción.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Protección de datos personales: Los datos de contacto de los clientes (nombre, email, teléfono) son almacenados en la base de datos PostgreSQL, cuya cadena de conexión es conocida únicamente por el servicio backend. n8n no dispone de credenciales de acceso directo a la base y sólo consume los datos que el backend expone a través de su API. No son compartidos con servicios de terceros más allá de los canales de notificación efectivamente utilizados (correo electrónico mediante Gmail y, para el registro de contenido, Google Sheets).</w:t>
      </w:r>
    </w:p>
    <w:p>
      <w:pPr>
        <w:pStyle w:val="normal1"/>
        <w:rPr/>
      </w:pPr>
      <w:r>
        <w:rPr>
          <w:sz w:val="24"/>
        </w:rPr>
        <w:t>Cumplimiento de la Ley 25.326 de Protección de Datos Personales: Los datos personales de clientes recolectados por el sistema (nombre, empresa, teléfono, email y notas de la solicitud de cotización) constituyen datos personales en los términos del art. 2 de la Ley 25.326. La base de licitud del tratamiento es el consentimiento del titular, prestado de manera implícita al completar y enviar voluntariamente el formulario de cotización, cuya finalidad —ser contactado por un asesor comercial— es evidente por el propio contexto de uso (art. 5). El plazo de retención de estos datos no está acotado hoy por una política explícita en el sistema implementado. Se identifica como trabajo futuro de prioridad alta la definición de un plazo de conservación y un mecanismo de purga automática, alineado con el principio de calidad de los datos del art. 4. En cuanto al ejercicio de los derechos de Acceso, Rectificación, Cancelación y Oposición (derechos ARCO, arts. 14 a 16), el sistema no expone hoy un mecanismo de autoservicio para que el titular los ejerza. El canal disponible es la solicitud directa por WhatsApp o email a la empresa, que se canaliza manualmente a través del administrador del sistema. Finalmente, el envío de notificaciones mediante la API de WhatsApp Business (Meta) implica una transferencia internacional de datos hacia servidores fuera de la jurisdicción argentina, alcanzada por el art. 12 de la ley. Esta transferencia no fue objeto de un análisis legal formal en el marco de este trabajo, cuyo alcance es técnico y no jurídico, lo que se declara aquí como limitación explícita en lugar de darse por resuelta. Respaldo y recuperación: el entorno de staging descrito no cuenta hoy con una política formal de backup automatizado ni un procedimiento de recuperación ante desastre para los datos de PostgreSQL. La reproducibilidad que ofrece Docker Compose (§3.5) cubre la reconstrucción del entorno de ejecución, no la preservación de los datos ya persistidos. Se identifica como trabajo futuro de prioridad alta antes del despliegue en producción, dado que el sistema almacena datos personales de clientes.</w:t>
      </w:r>
    </w:p>
    <w:p>
      <w:pPr>
        <w:pStyle w:val="Heading2"/>
        <w:spacing w:lineRule="auto" w:line="420" w:before="280" w:after="80"/>
        <w:jc w:val="start"/>
        <w:rPr/>
      </w:pPr>
      <w:bookmarkStart w:id="27" w:name="__RefHeading___Toc2050_910930204"/>
      <w:bookmarkEnd w:id="27"/>
      <w:r>
        <w:rPr>
          <w:rFonts w:eastAsia="Times New Roman" w:cs="Times New Roman" w:ascii="Times New Roman" w:hAnsi="Times New Roman"/>
          <w:b/>
          <w:bCs/>
          <w:i w:val="false"/>
          <w:iCs w:val="false"/>
          <w:sz w:val="26"/>
          <w:szCs w:val="26"/>
        </w:rPr>
        <w:t>4.5 Estrategia de pruebas y validación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Para cada componente del sistema se ejecutó un protocolo de pruebas estructurado en tres niveles, conforme al marco de la pirámide de pruebas de software (Cohn, 2010):</w:t>
      </w:r>
    </w:p>
    <w:p>
      <w:pPr>
        <w:pStyle w:val="normal1"/>
        <w:spacing w:lineRule="auto" w:line="420" w:before="0" w:after="0"/>
        <w:ind w:firstLine="709"/>
        <w:jc w:val="both"/>
        <w:rPr/>
      </w:pPr>
      <w:r>
        <w:rPr>
          <w:rFonts w:eastAsia="Times New Roman" w:cs="Times New Roman"/>
          <w:b w:val="false"/>
          <w:bCs w:val="false"/>
          <w:i w:val="false"/>
          <w:iCs w:val="false"/>
          <w:sz w:val="24"/>
          <w:szCs w:val="24"/>
        </w:rPr>
        <w:t>Pruebas de unidad: Verifican el comportamiento correcto de cada unidad de código de manera aislada. Para el frontend React, se implementaron pruebas unitarias con Jest 29 y React Testing Library, cubriendo los componentes críticos del flujo de conversión: ProductCard, CartDrawer y QuoteForm. Para los flujos de n8n, cada nodo individual fue probado con payloads sintéticos que cubren los casos nominales y los casos de borde. El Anexo D contiene el conjunto completo de casos de prueba de unidad.</w:t>
      </w:r>
    </w:p>
    <w:p>
      <w:pPr>
        <w:pStyle w:val="normal1"/>
        <w:spacing w:lineRule="auto" w:line="420" w:before="0" w:after="0"/>
        <w:ind w:firstLine="709"/>
        <w:jc w:val="both"/>
        <w:rPr/>
      </w:pPr>
      <w:r>
        <w:rPr>
          <w:rFonts w:eastAsia="Times New Roman" w:cs="Times New Roman"/>
          <w:b w:val="false"/>
          <w:bCs w:val="false"/>
          <w:i w:val="false"/>
          <w:iCs w:val="false"/>
          <w:sz w:val="24"/>
          <w:szCs w:val="24"/>
        </w:rPr>
        <w:t>Pruebas de integración: Validan el comportamiento de los componentes críticos del catálogo de manera integrada, con Jest y React Testing Library. La cobertura incluye: (a) navegación del catálogo, filtrado por línea de producto y renderizado de tarjetas de producto (ProductCard); (b) adición de productos al carrito, modificación de cantidades y apertura del carrito (CartContext, CartDrawer); y (c) completitud del formulario de cotización y envío exitoso vía el cliente de API real (QuoteForm, api.ts). Pruebas end-to-end de navegador con Playwright están identificadas como trabajo futuro (sección 6.2) y no forman parte de la suite actual. Para los flujos de n8n, las pruebas de integración se ejecutaron manualmente, disparando cada workflow desde su Manual Trigger. Se verificaron dos aspectos: la entrega correcta de la salida final por su canal correspondiente —que en todos los workflows ejecutados es Gmail o Google Sheets— y el comportamiento de los nodos que dependen de datos simulados o de servicios públicos gratuitos (mock reviews, PageSpeed Insights, jsonplaceholder.typicode.com). Las llamadas de lectura contra la API real del backend previstas en los workflows 05 y 07 (GET /stats/monthly, GET /orders) no pudieron verificarse de punta a punta en estas pruebas, dado que los nodos HTTP Request correspondientes apuntan a un host (golden_harvest_api:8000) no definido en docker-compose.yml. Esta discrepancia de configuración se documenta como hallazgo en §4.3. Ninguna de estas pruebas verifica escritura en PostgreSQL desde n8n, dado que ningún workflow escribe en la base de datos: la persistencia es responsabilidad exclusiva del backend (§4.3).</w:t>
      </w:r>
    </w:p>
    <w:p>
      <w:pPr>
        <w:pStyle w:val="normal1"/>
        <w:spacing w:lineRule="auto" w:line="420" w:before="0" w:after="0"/>
        <w:ind w:firstLine="709"/>
        <w:jc w:val="both"/>
        <w:rPr/>
      </w:pPr>
      <w:r>
        <w:rPr>
          <w:rFonts w:eastAsia="Times New Roman" w:cs="Times New Roman"/>
          <w:b w:val="false"/>
          <w:bCs w:val="false"/>
          <w:i w:val="false"/>
          <w:iCs w:val="false"/>
          <w:sz w:val="24"/>
          <w:szCs w:val="24"/>
        </w:rPr>
        <w:t>Pruebas de resiliencia: Simulan condiciones de fallo para verificar que los flujos manejan los errores de manera elegante sin dejar al sistema en un estado inconsistente. Los escenarios de fallo probados incluyen: (a) latencia elevada de las APIs externas (simulada mediante el nodo Wait de n8n); (b) timeout de red en la conexión al webhook; (c) datos de entrada malformados (payload JSON inválido); y (d) indisponibilidad temporal de la base de datos PostgreSQL. Los cuatro escenarios se probaron de forma individual, con el siguiente resultado: (a) latencia elevada — el flujo esperó la respuesta sin descartar la ejecución y completó al recibirla; (b) timeout de webhook — el frontend mostró el estado de error al usuario sin perder los datos ingresados en el formulario, que permanecen en el estado de React hasta un nuevo intento; (c) payload malformado — la validación Zod del endpoint POST /api/quotes del backend rechazó la solicitud con un código de estado 400 y el detalle de los campos inválidos, sin persistir una cotización incompleta; (d) caída temporal de PostgreSQL — la ejecución del flujo falló y quedó registrada en el historial de errores de n8n, sin un mecanismo de reintento automático (ver limitación relacionada en §6.3). En los cuatro casos el sistema evitó dejar datos inconsistentes, aunque sin recuperación automática en los escenarios (b) y (d), que hoy dependen de que el usuario o el operador reintenten manualmente.</w:t>
      </w:r>
    </w:p>
    <w:p>
      <w:pPr>
        <w:pStyle w:val="normal1"/>
        <w:spacing w:lineRule="auto" w:line="420" w:before="0" w:after="0"/>
        <w:ind w:firstLine="709"/>
        <w:jc w:val="both"/>
        <w:rPr/>
      </w:pPr>
      <w:r>
        <w:rPr>
          <w:rFonts w:eastAsia="Times New Roman" w:cs="Times New Roman"/>
          <w:b w:val="false"/>
          <w:bCs w:val="false"/>
          <w:i w:val="false"/>
          <w:iCs w:val="false"/>
          <w:sz w:val="24"/>
          <w:szCs w:val="24"/>
        </w:rPr>
        <w:t>Pruebas de usabilidad: no se ejecutaron en el alcance de este trabajo, por restricciones de tiempo del proyecto. El protocolo aquí descripto originalmente —muestra intencional de cinco usuarios representativos del perfil de clientes, tarea de "explorar el catálogo, seleccionar al menos tres productos y enviar una solicitud de cotización" sin asistencia externa, moderación presencial y calificación en escala Likert de 5 puntos— queda documentado como diseño de instrumento para un estudio de usabilidad futuro (véase §6.4).</w:t>
      </w:r>
    </w:p>
    <w:p>
      <w:pPr>
        <w:pStyle w:val="Heading2"/>
        <w:spacing w:lineRule="auto" w:line="420" w:before="280" w:after="80"/>
        <w:jc w:val="start"/>
        <w:rPr/>
      </w:pPr>
      <w:bookmarkStart w:id="28" w:name="__RefHeading___Toc2052_910930204"/>
      <w:bookmarkEnd w:id="28"/>
      <w:r>
        <w:rPr>
          <w:rFonts w:eastAsia="Times New Roman" w:cs="Times New Roman" w:ascii="Times New Roman" w:hAnsi="Times New Roman"/>
          <w:b/>
          <w:bCs/>
          <w:i w:val="false"/>
          <w:iCs w:val="false"/>
          <w:sz w:val="26"/>
          <w:szCs w:val="26"/>
        </w:rPr>
        <w:t>4.6 Desarrollo asistido por IA y validación manual</w:t>
      </w:r>
    </w:p>
    <w:p>
      <w:pPr>
        <w:pStyle w:val="normal1"/>
        <w:spacing w:lineRule="auto" w:line="420" w:before="0" w:after="0"/>
        <w:ind w:firstLine="709"/>
        <w:jc w:val="both"/>
        <w:rPr/>
      </w:pPr>
      <w:r>
        <w:rPr>
          <w:rFonts w:eastAsia="Times New Roman" w:cs="Times New Roman"/>
          <w:b w:val="false"/>
          <w:bCs w:val="false"/>
          <w:i w:val="false"/>
          <w:iCs w:val="false"/>
          <w:sz w:val="24"/>
          <w:szCs w:val="24"/>
        </w:rPr>
        <w:t>El desarrollo del proyecto, tanto en su componente práctico como en su documentación, incorporó el uso sistemático de herramientas de inteligencia artificial generativa —Claude de Anthropic y GitHub Copilot—, por directiva expresa del director de tesis. Un caso concreto ilustra esta integración a nivel técnico: para el desarrollo y ajuste de los ocho workflows de n8n, Claude accedió directamente a la API REST de n8n (endpoint local, autenticado con clave de API) para leer y modificar las definiciones JSON de los flujos, en lugar de depender del ciclo manual de exportar e importar cada workflow desde la interfaz web. Esto funcionó, además, como un workaround práctico a la fricción ya documentada del gestor de credenciales de n8n (véase docs/architecture/n8n.md).</w:t>
      </w:r>
    </w:p>
    <w:p>
      <w:pPr>
        <w:pStyle w:val="normal1"/>
        <w:spacing w:lineRule="auto" w:line="420" w:before="0" w:after="0"/>
        <w:ind w:firstLine="709"/>
        <w:jc w:val="both"/>
        <w:rPr/>
      </w:pPr>
      <w:r>
        <w:rPr>
          <w:rFonts w:eastAsia="Times New Roman" w:cs="Times New Roman"/>
          <w:b w:val="false"/>
          <w:bCs w:val="false"/>
          <w:i w:val="false"/>
          <w:iCs w:val="false"/>
          <w:sz w:val="24"/>
          <w:szCs w:val="24"/>
        </w:rPr>
        <w:t>En todos los casos, el código y los flujos generados o modificados con asistencia de IA fueron revisados y validados manualmente por los autores antes de su incorporación al sistema; las decisiones de diseño arquitectónico —selección del stack, esquema de base de datos, estructura de los flujos de n8n— permanecieron en manos del equipo humano.</w:t>
      </w:r>
    </w:p>
    <w:p>
      <w:pPr>
        <w:pStyle w:val="Heading1"/>
        <w:spacing w:lineRule="auto" w:line="240" w:before="0" w:after="360"/>
        <w:jc w:val="center"/>
        <w:rPr/>
      </w:pPr>
      <w:bookmarkStart w:id="29" w:name="__RefHeading___Toc2054_910930204"/>
      <w:bookmarkEnd w:id="29"/>
      <w:r>
        <w:rPr>
          <w:rFonts w:eastAsia="Times New Roman" w:cs="Times New Roman" w:ascii="Times New Roman" w:hAnsi="Times New Roman"/>
          <w:b/>
          <w:bCs/>
          <w:i w:val="false"/>
          <w:iCs w:val="false"/>
          <w:sz w:val="28"/>
          <w:szCs w:val="28"/>
        </w:rPr>
        <w:t>CAPÍTULO 5: RESULTADOS Y ANÁLISIS</w:t>
      </w:r>
    </w:p>
    <w:p>
      <w:pPr>
        <w:pStyle w:val="normal1"/>
        <w:spacing w:lineRule="auto" w:line="420" w:before="0" w:after="0"/>
        <w:ind w:firstLine="709"/>
        <w:jc w:val="both"/>
        <w:rPr/>
      </w:pPr>
      <w:r>
        <w:rPr>
          <w:rFonts w:eastAsia="Times New Roman" w:cs="Times New Roman"/>
          <w:b w:val="false"/>
          <w:bCs w:val="false"/>
          <w:i w:val="false"/>
          <w:iCs w:val="false"/>
          <w:sz w:val="24"/>
          <w:szCs w:val="24"/>
        </w:rPr>
        <w:t>Este capítulo presenta los resultados obtenidos en las distintas dimensiones del proyecto, su análisis en relación con la hipótesis planteada y la validación del ecosistema digital implementado en su conjunto. Todos los resultados reportados corresponden a mediciones realizadas en el entorno de staging, conforme al diseño metodológico descrito en el Capítulo 3. Los valores cuantitativos deben interpretarse en el contexto de las limitaciones metodológicas explicitadas en la sección 5.4.</w:t>
      </w:r>
    </w:p>
    <w:p>
      <w:pPr>
        <w:pStyle w:val="Heading2"/>
        <w:spacing w:lineRule="auto" w:line="420" w:before="280" w:after="80"/>
        <w:jc w:val="start"/>
        <w:rPr/>
      </w:pPr>
      <w:bookmarkStart w:id="30" w:name="__RefHeading___Toc2056_910930204"/>
      <w:bookmarkEnd w:id="30"/>
      <w:r>
        <w:rPr>
          <w:rFonts w:eastAsia="Times New Roman" w:cs="Times New Roman" w:ascii="Times New Roman" w:hAnsi="Times New Roman"/>
          <w:b/>
          <w:bCs/>
          <w:i w:val="false"/>
          <w:iCs w:val="false"/>
          <w:sz w:val="26"/>
          <w:szCs w:val="26"/>
        </w:rPr>
        <w:t>5.1 Resultados del módulo de Catálogo Interactivo (VD1 y VD4)</w:t>
      </w:r>
    </w:p>
    <w:p>
      <w:pPr>
        <w:pStyle w:val="normal1"/>
        <w:spacing w:lineRule="auto" w:line="420" w:before="280" w:after="80"/>
        <w:jc w:val="start"/>
        <w:rPr/>
      </w:pPr>
      <w:r>
        <w:rPr>
          <w:rFonts w:eastAsia="Times New Roman" w:cs="Times New Roman"/>
          <w:b/>
          <w:bCs/>
          <w:i w:val="false"/>
          <w:iCs w:val="false"/>
          <w:sz w:val="24"/>
          <w:szCs w:val="24"/>
        </w:rPr>
        <w:t>5.1.1 Rendimiento técnico (VD1)</w:t>
      </w:r>
    </w:p>
    <w:p>
      <w:pPr>
        <w:pStyle w:val="normal1"/>
        <w:spacing w:lineRule="auto" w:line="420" w:before="0" w:after="0"/>
        <w:ind w:firstLine="709"/>
        <w:jc w:val="both"/>
        <w:rPr/>
      </w:pPr>
      <w:r>
        <w:rPr>
          <w:rFonts w:eastAsia="Times New Roman" w:cs="Times New Roman"/>
          <w:b w:val="false"/>
          <w:bCs w:val="false"/>
          <w:i w:val="false"/>
          <w:iCs w:val="false"/>
          <w:sz w:val="24"/>
          <w:szCs w:val="24"/>
        </w:rPr>
        <w:t>La implementación del catálogo interactivo en React/Vite produjo mejoras cuantificables respecto del sitio web preexistente de Golden Harvest S.A. en la mayoría de las dimensiones de evaluación técnica, con una excepción real que se detalla más abajo. La Tabla 6 resume los resultados de la auditoría con Google Lighthouse v12.8.2: mediana de 5 corridas para el catálogo nuevo (build de producción vía vite preview) y 1 corrida para el sitio preexistente en producción, metodología documentada en docs/research/lighthouse/README.md del repositorio. Al catálogo nuevo se le aplicó el mismo throttling que al sitio preexistente (dispositivo móvil simulado Moto G Power, 4G simulado con RTT 150ms, declarado en §3.4), para que la comparación entre ambos sea metodológicamente simétrica.</w:t>
      </w:r>
    </w:p>
    <w:p>
      <w:pPr>
        <w:pStyle w:val="TablaCaptionIDX"/>
        <w:spacing w:lineRule="auto" w:line="240" w:before="160" w:after="40"/>
        <w:jc w:val="center"/>
        <w:rPr/>
      </w:pPr>
      <w:r>
        <w:rPr>
          <w:rFonts w:eastAsia="Times New Roman" w:cs="Times New Roman"/>
          <w:b/>
          <w:bCs/>
          <w:i w:val="false"/>
          <w:iCs w:val="false"/>
          <w:sz w:val="22"/>
          <w:szCs w:val="22"/>
        </w:rPr>
        <w:t>Tabla 6: Comparación de métricas Google Lighthouse — Sitio preexistente vs. Catálogo nuevo</w:t>
      </w:r>
    </w:p>
    <w:tbl>
      <w:tblPr>
        <w:tblW w:w="87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65"/>
        <w:gridCol w:w="1464"/>
        <w:gridCol w:w="1466"/>
        <w:gridCol w:w="1465"/>
        <w:gridCol w:w="1462"/>
        <w:gridCol w:w="2"/>
        <w:gridCol w:w="1466"/>
      </w:tblGrid>
      <w:tr>
        <w:trPr/>
        <w:tc>
          <w:tcPr>
            <w:tcW w:w="1465" w:type="dxa"/>
            <w:vMerge w:val="restart"/>
            <w:tcBorders>
              <w:top w:val="single" w:sz="4" w:space="0" w:color="888888"/>
              <w:start w:val="single" w:sz="4" w:space="0" w:color="888888"/>
              <w:bottom w:val="single" w:sz="4" w:space="0" w:color="888888"/>
              <w:end w:val="single" w:sz="4" w:space="0" w:color="888888"/>
            </w:tcBorders>
          </w:tcPr>
          <w:p>
            <w:pPr>
              <w:pStyle w:val="normal1"/>
              <w:rPr/>
            </w:pPr>
            <w:r>
              <w:rPr>
                <w:b/>
                <w:sz w:val="20"/>
              </w:rPr>
              <w:t>Métrica</w:t>
            </w:r>
          </w:p>
        </w:tc>
        <w:tc>
          <w:tcPr>
            <w:tcW w:w="2930" w:type="dxa"/>
            <w:gridSpan w:val="2"/>
            <w:tcBorders>
              <w:top w:val="single" w:sz="4" w:space="0" w:color="888888"/>
              <w:start w:val="single" w:sz="4" w:space="0" w:color="888888"/>
              <w:bottom w:val="single" w:sz="4" w:space="0" w:color="888888"/>
              <w:end w:val="single" w:sz="4" w:space="0" w:color="888888"/>
            </w:tcBorders>
          </w:tcPr>
          <w:p>
            <w:pPr>
              <w:pStyle w:val="normal1"/>
              <w:jc w:val="center"/>
              <w:rPr/>
            </w:pPr>
            <w:r>
              <w:rPr>
                <w:b/>
                <w:sz w:val="20"/>
              </w:rPr>
              <w:t>Sitio preexistente</w:t>
            </w:r>
          </w:p>
        </w:tc>
        <w:tc>
          <w:tcPr>
            <w:tcW w:w="2927" w:type="dxa"/>
            <w:gridSpan w:val="2"/>
            <w:tcBorders>
              <w:top w:val="single" w:sz="4" w:space="0" w:color="888888"/>
              <w:start w:val="single" w:sz="4" w:space="0" w:color="888888"/>
              <w:bottom w:val="single" w:sz="4" w:space="0" w:color="888888"/>
              <w:end w:val="single" w:sz="4" w:space="0" w:color="888888"/>
            </w:tcBorders>
          </w:tcPr>
          <w:p>
            <w:pPr>
              <w:pStyle w:val="normal1"/>
              <w:jc w:val="center"/>
              <w:rPr/>
            </w:pPr>
            <w:r>
              <w:rPr>
                <w:b/>
                <w:sz w:val="20"/>
              </w:rPr>
              <w:t>Catálogo nuevo</w:t>
            </w:r>
          </w:p>
        </w:tc>
        <w:tc>
          <w:tcPr>
            <w:tcW w:w="1468" w:type="dxa"/>
            <w:gridSpan w:val="2"/>
            <w:tcBorders>
              <w:top w:val="single" w:sz="4" w:space="0" w:color="888888"/>
              <w:start w:val="single" w:sz="4" w:space="0" w:color="888888"/>
              <w:bottom w:val="single" w:sz="4" w:space="0" w:color="888888"/>
              <w:end w:val="single" w:sz="4" w:space="0" w:color="888888"/>
            </w:tcBorders>
          </w:tcPr>
          <w:p>
            <w:pPr>
              <w:pStyle w:val="normal1"/>
              <w:rPr/>
            </w:pPr>
            <w:r>
              <w:rPr>
                <w:b/>
                <w:sz w:val="20"/>
              </w:rPr>
              <w:t>Δ</w:t>
            </w:r>
          </w:p>
        </w:tc>
      </w:tr>
      <w:tr>
        <w:trPr/>
        <w:tc>
          <w:tcPr>
            <w:tcW w:w="1465" w:type="dxa"/>
            <w:vMerge w:val="continue"/>
            <w:tcBorders>
              <w:top w:val="single" w:sz="4" w:space="0" w:color="888888"/>
              <w:start w:val="single" w:sz="4" w:space="0" w:color="888888"/>
              <w:bottom w:val="single" w:sz="4" w:space="0" w:color="888888"/>
              <w:end w:val="single" w:sz="4" w:space="0" w:color="888888"/>
            </w:tcBorders>
          </w:tcPr>
          <w:p>
            <w:pPr>
              <w:pStyle w:val="normal1"/>
              <w:rPr/>
            </w:pPr>
            <w:r>
              <w:rPr/>
            </w:r>
          </w:p>
        </w:tc>
        <w:tc>
          <w:tcPr>
            <w:tcW w:w="1464" w:type="dxa"/>
            <w:tcBorders>
              <w:top w:val="single" w:sz="4" w:space="0" w:color="888888"/>
              <w:start w:val="single" w:sz="4" w:space="0" w:color="888888"/>
              <w:bottom w:val="single" w:sz="4" w:space="0" w:color="888888"/>
              <w:end w:val="single" w:sz="4" w:space="0" w:color="888888"/>
            </w:tcBorders>
          </w:tcPr>
          <w:p>
            <w:pPr>
              <w:pStyle w:val="normal1"/>
              <w:jc w:val="center"/>
              <w:rPr/>
            </w:pPr>
            <w:r>
              <w:rPr>
                <w:b/>
                <w:sz w:val="20"/>
              </w:rPr>
              <w:t>Móvil</w:t>
            </w:r>
          </w:p>
        </w:tc>
        <w:tc>
          <w:tcPr>
            <w:tcW w:w="1466" w:type="dxa"/>
            <w:tcBorders>
              <w:top w:val="single" w:sz="4" w:space="0" w:color="888888"/>
              <w:start w:val="single" w:sz="4" w:space="0" w:color="888888"/>
              <w:bottom w:val="single" w:sz="4" w:space="0" w:color="888888"/>
              <w:end w:val="single" w:sz="4" w:space="0" w:color="888888"/>
            </w:tcBorders>
          </w:tcPr>
          <w:p>
            <w:pPr>
              <w:pStyle w:val="normal1"/>
              <w:jc w:val="center"/>
              <w:rPr/>
            </w:pPr>
            <w:r>
              <w:rPr>
                <w:b/>
                <w:sz w:val="20"/>
              </w:rPr>
              <w:t>Escritorio</w:t>
            </w:r>
          </w:p>
        </w:tc>
        <w:tc>
          <w:tcPr>
            <w:tcW w:w="1465" w:type="dxa"/>
            <w:tcBorders>
              <w:top w:val="single" w:sz="4" w:space="0" w:color="888888"/>
              <w:start w:val="single" w:sz="4" w:space="0" w:color="888888"/>
              <w:bottom w:val="single" w:sz="4" w:space="0" w:color="888888"/>
              <w:end w:val="single" w:sz="4" w:space="0" w:color="888888"/>
            </w:tcBorders>
          </w:tcPr>
          <w:p>
            <w:pPr>
              <w:pStyle w:val="normal1"/>
              <w:jc w:val="center"/>
              <w:rPr/>
            </w:pPr>
            <w:r>
              <w:rPr>
                <w:b/>
                <w:sz w:val="20"/>
              </w:rPr>
              <w:t>Móvil</w:t>
            </w:r>
          </w:p>
        </w:tc>
        <w:tc>
          <w:tcPr>
            <w:tcW w:w="1464" w:type="dxa"/>
            <w:gridSpan w:val="2"/>
            <w:tcBorders>
              <w:top w:val="single" w:sz="4" w:space="0" w:color="888888"/>
              <w:start w:val="single" w:sz="4" w:space="0" w:color="888888"/>
              <w:bottom w:val="single" w:sz="4" w:space="0" w:color="888888"/>
              <w:end w:val="single" w:sz="4" w:space="0" w:color="888888"/>
            </w:tcBorders>
          </w:tcPr>
          <w:p>
            <w:pPr>
              <w:pStyle w:val="normal1"/>
              <w:jc w:val="center"/>
              <w:rPr/>
            </w:pPr>
            <w:r>
              <w:rPr>
                <w:b/>
                <w:sz w:val="20"/>
              </w:rPr>
              <w:t>Escritorio</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r>
          </w:p>
        </w:tc>
      </w:tr>
      <w:tr>
        <w:trPr/>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Performance (0–100)</w:t>
            </w:r>
          </w:p>
        </w:tc>
        <w:tc>
          <w:tcPr>
            <w:tcW w:w="1464" w:type="dxa"/>
            <w:tcBorders>
              <w:top w:val="single" w:sz="4" w:space="0" w:color="888888"/>
              <w:start w:val="single" w:sz="4" w:space="0" w:color="888888"/>
              <w:bottom w:val="single" w:sz="4" w:space="0" w:color="888888"/>
              <w:end w:val="single" w:sz="4" w:space="0" w:color="888888"/>
            </w:tcBorders>
          </w:tcPr>
          <w:p>
            <w:pPr>
              <w:pStyle w:val="normal1"/>
              <w:rPr/>
            </w:pPr>
            <w:r>
              <w:rPr/>
              <w:t>18</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29</w:t>
            </w:r>
          </w:p>
        </w:tc>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92</w:t>
            </w:r>
          </w:p>
        </w:tc>
        <w:tc>
          <w:tcPr>
            <w:tcW w:w="1464" w:type="dxa"/>
            <w:gridSpan w:val="2"/>
            <w:tcBorders>
              <w:top w:val="single" w:sz="4" w:space="0" w:color="888888"/>
              <w:start w:val="single" w:sz="4" w:space="0" w:color="888888"/>
              <w:bottom w:val="single" w:sz="4" w:space="0" w:color="888888"/>
              <w:end w:val="single" w:sz="4" w:space="0" w:color="888888"/>
            </w:tcBorders>
          </w:tcPr>
          <w:p>
            <w:pPr>
              <w:pStyle w:val="normal1"/>
              <w:rPr/>
            </w:pPr>
            <w:r>
              <w:rPr/>
              <w:t>71</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+74 / +42</w:t>
            </w:r>
          </w:p>
        </w:tc>
      </w:tr>
      <w:tr>
        <w:trPr/>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Accessibility (0–100)</w:t>
            </w:r>
          </w:p>
        </w:tc>
        <w:tc>
          <w:tcPr>
            <w:tcW w:w="1464" w:type="dxa"/>
            <w:tcBorders>
              <w:top w:val="single" w:sz="4" w:space="0" w:color="888888"/>
              <w:start w:val="single" w:sz="4" w:space="0" w:color="888888"/>
              <w:bottom w:val="single" w:sz="4" w:space="0" w:color="888888"/>
              <w:end w:val="single" w:sz="4" w:space="0" w:color="888888"/>
            </w:tcBorders>
          </w:tcPr>
          <w:p>
            <w:pPr>
              <w:pStyle w:val="normal1"/>
              <w:rPr/>
            </w:pPr>
            <w:r>
              <w:rPr/>
              <w:t>94</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89</w:t>
            </w:r>
          </w:p>
        </w:tc>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83</w:t>
            </w:r>
          </w:p>
        </w:tc>
        <w:tc>
          <w:tcPr>
            <w:tcW w:w="1464" w:type="dxa"/>
            <w:gridSpan w:val="2"/>
            <w:tcBorders>
              <w:top w:val="single" w:sz="4" w:space="0" w:color="888888"/>
              <w:start w:val="single" w:sz="4" w:space="0" w:color="888888"/>
              <w:bottom w:val="single" w:sz="4" w:space="0" w:color="888888"/>
              <w:end w:val="single" w:sz="4" w:space="0" w:color="888888"/>
            </w:tcBorders>
          </w:tcPr>
          <w:p>
            <w:pPr>
              <w:pStyle w:val="normal1"/>
              <w:rPr/>
            </w:pPr>
            <w:r>
              <w:rPr/>
              <w:t>83</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-11 / -6</w:t>
            </w:r>
          </w:p>
        </w:tc>
      </w:tr>
      <w:tr>
        <w:trPr/>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Best Practices (0–100)</w:t>
            </w:r>
          </w:p>
        </w:tc>
        <w:tc>
          <w:tcPr>
            <w:tcW w:w="1464" w:type="dxa"/>
            <w:tcBorders>
              <w:top w:val="single" w:sz="4" w:space="0" w:color="888888"/>
              <w:start w:val="single" w:sz="4" w:space="0" w:color="888888"/>
              <w:bottom w:val="single" w:sz="4" w:space="0" w:color="888888"/>
              <w:end w:val="single" w:sz="4" w:space="0" w:color="888888"/>
            </w:tcBorders>
          </w:tcPr>
          <w:p>
            <w:pPr>
              <w:pStyle w:val="normal1"/>
              <w:rPr/>
            </w:pPr>
            <w:r>
              <w:rPr/>
              <w:t>57</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74</w:t>
            </w:r>
          </w:p>
        </w:tc>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100</w:t>
            </w:r>
          </w:p>
        </w:tc>
        <w:tc>
          <w:tcPr>
            <w:tcW w:w="1464" w:type="dxa"/>
            <w:gridSpan w:val="2"/>
            <w:tcBorders>
              <w:top w:val="single" w:sz="4" w:space="0" w:color="888888"/>
              <w:start w:val="single" w:sz="4" w:space="0" w:color="888888"/>
              <w:bottom w:val="single" w:sz="4" w:space="0" w:color="888888"/>
              <w:end w:val="single" w:sz="4" w:space="0" w:color="888888"/>
            </w:tcBorders>
          </w:tcPr>
          <w:p>
            <w:pPr>
              <w:pStyle w:val="normal1"/>
              <w:rPr/>
            </w:pPr>
            <w:r>
              <w:rPr/>
              <w:t>100</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+43 / +26</w:t>
            </w:r>
          </w:p>
        </w:tc>
      </w:tr>
      <w:tr>
        <w:trPr/>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SEO (0–100)</w:t>
            </w:r>
          </w:p>
        </w:tc>
        <w:tc>
          <w:tcPr>
            <w:tcW w:w="1464" w:type="dxa"/>
            <w:tcBorders>
              <w:top w:val="single" w:sz="4" w:space="0" w:color="888888"/>
              <w:start w:val="single" w:sz="4" w:space="0" w:color="888888"/>
              <w:bottom w:val="single" w:sz="4" w:space="0" w:color="888888"/>
              <w:end w:val="single" w:sz="4" w:space="0" w:color="888888"/>
            </w:tcBorders>
          </w:tcPr>
          <w:p>
            <w:pPr>
              <w:pStyle w:val="normal1"/>
              <w:rPr/>
            </w:pPr>
            <w:r>
              <w:rPr/>
              <w:t>82</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82</w:t>
            </w:r>
          </w:p>
        </w:tc>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100</w:t>
            </w:r>
          </w:p>
        </w:tc>
        <w:tc>
          <w:tcPr>
            <w:tcW w:w="1464" w:type="dxa"/>
            <w:gridSpan w:val="2"/>
            <w:tcBorders>
              <w:top w:val="single" w:sz="4" w:space="0" w:color="888888"/>
              <w:start w:val="single" w:sz="4" w:space="0" w:color="888888"/>
              <w:bottom w:val="single" w:sz="4" w:space="0" w:color="888888"/>
              <w:end w:val="single" w:sz="4" w:space="0" w:color="888888"/>
            </w:tcBorders>
          </w:tcPr>
          <w:p>
            <w:pPr>
              <w:pStyle w:val="normal1"/>
              <w:rPr/>
            </w:pPr>
            <w:r>
              <w:rPr/>
              <w:t>100</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+18 / +18</w:t>
            </w:r>
          </w:p>
        </w:tc>
      </w:tr>
      <w:tr>
        <w:trPr/>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LCP (segundos)</w:t>
            </w:r>
          </w:p>
        </w:tc>
        <w:tc>
          <w:tcPr>
            <w:tcW w:w="1464" w:type="dxa"/>
            <w:tcBorders>
              <w:top w:val="single" w:sz="4" w:space="0" w:color="888888"/>
              <w:start w:val="single" w:sz="4" w:space="0" w:color="888888"/>
              <w:bottom w:val="single" w:sz="4" w:space="0" w:color="888888"/>
              <w:end w:val="single" w:sz="4" w:space="0" w:color="888888"/>
            </w:tcBorders>
          </w:tcPr>
          <w:p>
            <w:pPr>
              <w:pStyle w:val="normal1"/>
              <w:rPr/>
            </w:pPr>
            <w:r>
              <w:rPr/>
              <w:t>8,9s</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11,5s</w:t>
            </w:r>
          </w:p>
        </w:tc>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2,9s</w:t>
            </w:r>
          </w:p>
        </w:tc>
        <w:tc>
          <w:tcPr>
            <w:tcW w:w="1464" w:type="dxa"/>
            <w:gridSpan w:val="2"/>
            <w:tcBorders>
              <w:top w:val="single" w:sz="4" w:space="0" w:color="888888"/>
              <w:start w:val="single" w:sz="4" w:space="0" w:color="888888"/>
              <w:bottom w:val="single" w:sz="4" w:space="0" w:color="888888"/>
              <w:end w:val="single" w:sz="4" w:space="0" w:color="888888"/>
            </w:tcBorders>
          </w:tcPr>
          <w:p>
            <w:pPr>
              <w:pStyle w:val="normal1"/>
              <w:rPr/>
            </w:pPr>
            <w:r>
              <w:rPr/>
              <w:t>2,8s</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-67% / -76%</w:t>
            </w:r>
          </w:p>
        </w:tc>
      </w:tr>
      <w:tr>
        <w:trPr/>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TBT (milisegundos)</w:t>
            </w:r>
          </w:p>
        </w:tc>
        <w:tc>
          <w:tcPr>
            <w:tcW w:w="1464" w:type="dxa"/>
            <w:tcBorders>
              <w:top w:val="single" w:sz="4" w:space="0" w:color="888888"/>
              <w:start w:val="single" w:sz="4" w:space="0" w:color="888888"/>
              <w:bottom w:val="single" w:sz="4" w:space="0" w:color="888888"/>
              <w:end w:val="single" w:sz="4" w:space="0" w:color="888888"/>
            </w:tcBorders>
          </w:tcPr>
          <w:p>
            <w:pPr>
              <w:pStyle w:val="normal1"/>
              <w:rPr/>
            </w:pPr>
            <w:r>
              <w:rPr/>
              <w:t>689ms</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555ms</w:t>
            </w:r>
          </w:p>
        </w:tc>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75ms</w:t>
            </w:r>
          </w:p>
        </w:tc>
        <w:tc>
          <w:tcPr>
            <w:tcW w:w="1464" w:type="dxa"/>
            <w:gridSpan w:val="2"/>
            <w:tcBorders>
              <w:top w:val="single" w:sz="4" w:space="0" w:color="888888"/>
              <w:start w:val="single" w:sz="4" w:space="0" w:color="888888"/>
              <w:bottom w:val="single" w:sz="4" w:space="0" w:color="888888"/>
              <w:end w:val="single" w:sz="4" w:space="0" w:color="888888"/>
            </w:tcBorders>
          </w:tcPr>
          <w:p>
            <w:pPr>
              <w:pStyle w:val="normal1"/>
              <w:rPr/>
            </w:pPr>
            <w:r>
              <w:rPr/>
              <w:t>57ms</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-89% / -90%</w:t>
            </w:r>
          </w:p>
        </w:tc>
      </w:tr>
      <w:tr>
        <w:trPr/>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CLS</w:t>
            </w:r>
          </w:p>
        </w:tc>
        <w:tc>
          <w:tcPr>
            <w:tcW w:w="1464" w:type="dxa"/>
            <w:tcBorders>
              <w:top w:val="single" w:sz="4" w:space="0" w:color="888888"/>
              <w:start w:val="single" w:sz="4" w:space="0" w:color="888888"/>
              <w:bottom w:val="single" w:sz="4" w:space="0" w:color="888888"/>
              <w:end w:val="single" w:sz="4" w:space="0" w:color="888888"/>
            </w:tcBorders>
          </w:tcPr>
          <w:p>
            <w:pPr>
              <w:pStyle w:val="normal1"/>
              <w:rPr/>
            </w:pPr>
            <w:r>
              <w:rPr/>
              <w:t>0,861</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0,120</w:t>
            </w:r>
          </w:p>
        </w:tc>
        <w:tc>
          <w:tcPr>
            <w:tcW w:w="1465" w:type="dxa"/>
            <w:tcBorders>
              <w:top w:val="single" w:sz="4" w:space="0" w:color="888888"/>
              <w:start w:val="single" w:sz="4" w:space="0" w:color="888888"/>
              <w:bottom w:val="single" w:sz="4" w:space="0" w:color="888888"/>
              <w:end w:val="single" w:sz="4" w:space="0" w:color="888888"/>
            </w:tcBorders>
          </w:tcPr>
          <w:p>
            <w:pPr>
              <w:pStyle w:val="normal1"/>
              <w:rPr/>
            </w:pPr>
            <w:r>
              <w:rPr/>
              <w:t>0,010</w:t>
            </w:r>
          </w:p>
        </w:tc>
        <w:tc>
          <w:tcPr>
            <w:tcW w:w="1464" w:type="dxa"/>
            <w:gridSpan w:val="2"/>
            <w:tcBorders>
              <w:top w:val="single" w:sz="4" w:space="0" w:color="888888"/>
              <w:start w:val="single" w:sz="4" w:space="0" w:color="888888"/>
              <w:bottom w:val="single" w:sz="4" w:space="0" w:color="888888"/>
              <w:end w:val="single" w:sz="4" w:space="0" w:color="888888"/>
            </w:tcBorders>
          </w:tcPr>
          <w:p>
            <w:pPr>
              <w:pStyle w:val="normal1"/>
              <w:rPr/>
            </w:pPr>
            <w:r>
              <w:rPr/>
              <w:t>0,010</w:t>
            </w:r>
          </w:p>
        </w:tc>
        <w:tc>
          <w:tcPr>
            <w:tcW w:w="1466" w:type="dxa"/>
            <w:tcBorders>
              <w:top w:val="single" w:sz="4" w:space="0" w:color="888888"/>
              <w:start w:val="single" w:sz="4" w:space="0" w:color="888888"/>
              <w:bottom w:val="single" w:sz="4" w:space="0" w:color="888888"/>
              <w:end w:val="single" w:sz="4" w:space="0" w:color="888888"/>
            </w:tcBorders>
          </w:tcPr>
          <w:p>
            <w:pPr>
              <w:pStyle w:val="normal1"/>
              <w:rPr/>
            </w:pPr>
            <w:r>
              <w:rPr/>
              <w:t>-99% / -92%</w:t>
            </w:r>
          </w:p>
        </w:tc>
      </w:tr>
    </w:tbl>
    <w:p>
      <w:pPr>
        <w:pStyle w:val="TablaCaptionIDX"/>
        <w:rPr/>
      </w:pPr>
      <w:r>
        <w:rPr>
          <w:i/>
        </w:rPr>
        <w:t>Nota. Fuente: elaboración propia, a partir de las corridas de Google Lighthouse v12.8.2 documentadas en el Anexo A y en docs/research/lighthouse/README.md del repositorio.</w:t>
      </w:r>
    </w:p>
    <w:p>
      <w:pPr>
        <w:pStyle w:val="normal1"/>
        <w:spacing w:lineRule="auto" w:line="420" w:before="0" w:after="0"/>
        <w:ind w:firstLine="709"/>
        <w:jc w:val="both"/>
        <w:rPr/>
      </w:pPr>
      <w:r>
        <w:rPr>
          <w:rFonts w:eastAsia="Times New Roman" w:cs="Times New Roman"/>
          <w:b w:val="false"/>
          <w:bCs w:val="false"/>
          <w:i w:val="false"/>
          <w:iCs w:val="false"/>
          <w:sz w:val="24"/>
          <w:szCs w:val="24"/>
        </w:rPr>
        <w:t>Los resultados son mixtos y se reportan tal como se midieron, sin promediar la excepción con el resto. Performance, Best Practices y SEO mejoran de manera sustancial en ambos dispositivos (+18 a +74 puntos). CLS y TBT (proxy de laboratorio de INP, que requiere datos de campo reales no disponibles en este entorno) caen en más del 89 % en ambos casos, ubicándose dentro del rango "Bueno" de Core Web Vitals (CLS &lt; 0,1). El LCP mejora en más del 65 % en ambos dispositivos pero, con una mediana de 2,8–2,9 segundos, queda por encima del umbral de 2,5 s que Google define como "Bueno" (Google Developers, 2024a). Se ubica en el rango "Necesita mejora", no en "Bueno". Accessibility, por su parte, retrocede de 89–94 a 83 en ambos dispositivos — una regresión real, no una mejora, que no se detectó durante el desarrollo por falta de una corrida de Lighthouse recurrente en el pipeline (ver recomendación en §6.2). En consecuencia, la dimensión (c) de H1 se confirma parcialmente: el ecosistema mejora la mayoría de las métricas de rendimiento técnico, pero no todas, y esa excepción se declara explícitamente en lugar de omitirse.</w:t>
      </w:r>
    </w:p>
    <w:p>
      <w:pPr>
        <w:pStyle w:val="normal1"/>
        <w:jc w:val="center"/>
        <w:rPr/>
      </w:pPr>
      <w:r>
        <w:rPr/>
        <w:drawing>
          <wp:inline distT="0" distB="0" distL="0" distR="0">
            <wp:extent cx="5760720" cy="2688590"/>
            <wp:effectExtent l="0" t="0" r="0" b="0"/>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
                    <pic:cNvPicPr>
                      <a:picLocks noChangeAspect="1" noChangeArrowheads="1"/>
                    </pic:cNvPicPr>
                  </pic:nvPicPr>
                  <pic:blipFill>
                    <a:blip r:embed="rId11"/>
                    <a:stretch>
                      <a:fillRect/>
                    </a:stretch>
                  </pic:blipFill>
                  <pic:spPr bwMode="auto">
                    <a:xfrm>
                      <a:off x="0" y="0"/>
                      <a:ext cx="5760720" cy="2688590"/>
                    </a:xfrm>
                    <a:prstGeom prst="rect">
                      <a:avLst/>
                    </a:prstGeom>
                    <a:noFill/>
                  </pic:spPr>
                </pic:pic>
              </a:graphicData>
            </a:graphic>
          </wp:inline>
        </w:drawing>
      </w:r>
    </w:p>
    <w:p>
      <w:pPr>
        <w:pStyle w:val="FiguraCaptionIDX"/>
        <w:jc w:val="center"/>
        <w:rPr/>
      </w:pPr>
      <w:r>
        <w:rPr>
          <w:i/>
        </w:rPr>
        <w:t>Figura 6. Comparación Lighthouse — sitio preexistente vs. catálogo nuevo (mediana de 5 corridas), por dispositivo.</w:t>
      </w:r>
    </w:p>
    <w:p>
      <w:pPr>
        <w:pStyle w:val="normal1"/>
        <w:spacing w:lineRule="auto" w:line="420" w:before="0" w:after="0"/>
        <w:ind w:firstLine="709"/>
        <w:jc w:val="both"/>
        <w:rPr/>
      </w:pPr>
      <w:r>
        <w:rPr>
          <w:rFonts w:eastAsia="Times New Roman" w:cs="Times New Roman"/>
          <w:b w:val="false"/>
          <w:bCs w:val="false"/>
          <w:i w:val="false"/>
          <w:iCs w:val="false"/>
          <w:sz w:val="24"/>
          <w:szCs w:val="24"/>
        </w:rPr>
        <w:t>Cuatro factores principales explican la mejora de rendimiento. Primero, la adopción del paradigma Mobile-First con Tailwind CSS, que elimina los estilos no utilizados mediante purging en build time y reduce el tamaño de los bundles de CSS. Segundo, la implementación de lazy loading de imágenes mediante la API IntersectionObserver, que carga las imágenes del catálogo únicamente cuando entran al viewport del usuario. Tercero, la generación estática de las rutas del catálogo mediante build estático de Vite, que elimina la latencia de renderizado en servidor. Cuarto, la estrategia de code splitting automático de Vite, que envía al navegador únicamente los módulos JavaScript necesarios.</w:t>
      </w:r>
    </w:p>
    <w:p>
      <w:pPr>
        <w:pStyle w:val="normal1"/>
        <w:spacing w:lineRule="auto" w:line="420" w:before="280" w:after="80"/>
        <w:jc w:val="start"/>
        <w:rPr/>
      </w:pPr>
      <w:r>
        <w:rPr>
          <w:rFonts w:eastAsia="Times New Roman" w:cs="Times New Roman"/>
          <w:b/>
          <w:bCs/>
          <w:i w:val="false"/>
          <w:iCs w:val="false"/>
          <w:sz w:val="24"/>
          <w:szCs w:val="24"/>
        </w:rPr>
        <w:t>5.1.2 Usabilidad del catálogo (VD4)</w:t>
      </w:r>
    </w:p>
    <w:p>
      <w:pPr>
        <w:pStyle w:val="normal1"/>
        <w:spacing w:lineRule="auto" w:line="420" w:before="0" w:after="0"/>
        <w:ind w:firstLine="709"/>
        <w:jc w:val="both"/>
        <w:rPr/>
      </w:pPr>
      <w:r>
        <w:rPr>
          <w:rFonts w:eastAsia="Times New Roman" w:cs="Times New Roman"/>
          <w:b w:val="false"/>
          <w:bCs w:val="false"/>
          <w:i w:val="false"/>
          <w:iCs w:val="false"/>
          <w:sz w:val="24"/>
          <w:szCs w:val="24"/>
        </w:rPr>
        <w:t>La validación empírica de VD4 no se ejecutó en el alcance de este trabajo: no se condujo ninguna prueba de usabilidad con usuarios reales, por restricciones de tiempo del proyecto. La hipótesis H2, planteada en §1.7, queda por lo tanto sin evaluar en esta versión de la tesis. Se identifica como trabajo futuro de prioridad alta la realización de un estudio de usabilidad exploratorio con una muestra intencional de usuarios reales, conforme al diseño metodológico descripto originalmente (véase §6.4).</w:t>
      </w:r>
    </w:p>
    <w:p>
      <w:pPr>
        <w:pStyle w:val="Heading2"/>
        <w:spacing w:lineRule="auto" w:line="420" w:before="280" w:after="80"/>
        <w:jc w:val="start"/>
        <w:rPr/>
      </w:pPr>
      <w:bookmarkStart w:id="31" w:name="__RefHeading___Toc2058_910930204"/>
      <w:bookmarkEnd w:id="31"/>
      <w:r>
        <w:rPr>
          <w:rFonts w:eastAsia="Times New Roman" w:cs="Times New Roman" w:ascii="Times New Roman" w:hAnsi="Times New Roman"/>
          <w:b/>
          <w:bCs/>
          <w:i w:val="false"/>
          <w:iCs w:val="false"/>
          <w:sz w:val="26"/>
          <w:szCs w:val="26"/>
        </w:rPr>
        <w:t>5.2 Resultados de la automatización con n8n (VD2 y VD3)</w:t>
      </w:r>
    </w:p>
    <w:p>
      <w:pPr>
        <w:pStyle w:val="normal1"/>
        <w:spacing w:lineRule="auto" w:line="420" w:before="0" w:after="0"/>
        <w:ind w:firstLine="709"/>
        <w:jc w:val="both"/>
        <w:rPr/>
      </w:pPr>
      <w:r>
        <w:rPr>
          <w:rFonts w:eastAsia="Times New Roman" w:cs="Times New Roman"/>
          <w:b/>
          <w:bCs/>
          <w:i w:val="false"/>
          <w:iCs w:val="false"/>
          <w:sz w:val="24"/>
          <w:szCs w:val="24"/>
        </w:rPr>
        <w:t>5.2.1 Procesamiento de solicitudes de cotización (VD2)</w:t>
      </w:r>
    </w:p>
    <w:p>
      <w:pPr>
        <w:pStyle w:val="normal1"/>
        <w:spacing w:lineRule="auto" w:line="420" w:before="0" w:after="0"/>
        <w:ind w:firstLine="709"/>
        <w:jc w:val="both"/>
        <w:rPr/>
      </w:pPr>
      <w:r>
        <w:rPr>
          <w:rFonts w:eastAsia="Times New Roman" w:cs="Times New Roman"/>
          <w:b w:val="false"/>
          <w:bCs w:val="false"/>
          <w:i w:val="false"/>
          <w:iCs w:val="false"/>
          <w:sz w:val="24"/>
          <w:szCs w:val="24"/>
        </w:rPr>
        <w:t>Esta dimensión requiere una aclaración previa que condiciona la lectura de todos los valores reportados a continuación. Como se estableció en §4.3, el procesamiento de las solicitudes de cotización no está implementado como un workflow de n8n, sino como el endpoint POST /api/quotes del backend Express. Ninguno de los ocho workflows ejecutados emite, además, notificaciones por WhatsApp. En consecuencia, las cifras que una versión anterior de este capítulo presentaba bajo el rótulo de un “Motor de Leads” de n8n —tiempo de procesamiento promedio de 8,3 segundos, tasas de entrega diferenciadas por canal de correo y WhatsApp, y una tasa agregada de 99,3 % sobre 150 notificaciones individuales— no corresponden a ningún artefacto verificable del repositorio entregado. Esas cifras se retiran de este trabajo en lugar de reformularse, dado que no existe un registro de ejecución que las respalde.</w:t>
      </w:r>
    </w:p>
    <w:p>
      <w:pPr>
        <w:pStyle w:val="normal1"/>
        <w:spacing w:lineRule="auto" w:line="420" w:before="0" w:after="0"/>
        <w:ind w:firstLine="709"/>
        <w:jc w:val="both"/>
        <w:rPr/>
      </w:pPr>
      <w:r>
        <w:rPr>
          <w:rFonts w:eastAsia="Times New Roman" w:cs="Times New Roman"/>
          <w:b w:val="false"/>
          <w:bCs w:val="false"/>
          <w:i w:val="false"/>
          <w:iCs w:val="false"/>
          <w:sz w:val="24"/>
          <w:szCs w:val="24"/>
        </w:rPr>
        <w:t>Lo que sí puede afirmarse sobre esta dimensión, verificado contra el código fuente y las pruebas de integración descritas en §4.5, es de naturaleza funcional y no temporal. El circuito completo —armado de la selección de productos en el carrito, envío del formulario, validación del payload con Zod, upsert del cliente y persistencia de la cotización en PostgreSQL— opera de extremo a extremo sin intervención humana. La suite de pruebas de integración del frontend cubre, además, el envío exitoso del formulario contra el cliente de API real. El disparo asíncrono de los webhooks hacia n8n está implementado en el backend y configurado mediante las variables documentadas en el Anexo H. De este modo, el punto de integración para la notificación automática al equipo comercial queda establecido, aunque el flujo receptor pertenezca al diseño de producción no ejecutado.</w:t>
      </w:r>
    </w:p>
    <w:p>
      <w:pPr>
        <w:pStyle w:val="normal1"/>
        <w:spacing w:lineRule="auto" w:line="420" w:before="0" w:after="0"/>
        <w:ind w:firstLine="709"/>
        <w:jc w:val="both"/>
        <w:rPr/>
      </w:pPr>
      <w:r>
        <w:rPr>
          <w:rFonts w:eastAsia="Times New Roman" w:cs="Times New Roman"/>
          <w:b w:val="false"/>
          <w:bCs w:val="false"/>
          <w:i w:val="false"/>
          <w:iCs w:val="false"/>
          <w:sz w:val="24"/>
          <w:szCs w:val="24"/>
        </w:rPr>
        <w:t>Por lo tanto, la dimensión (a) de H1 —relativa al tiempo de procesamiento de un lead— queda sin medición en este trabajo. No se dispone ni de una línea de base cronometrada del proceso manual equivalente en la empresa (limitación ya declarada en §1.7(a) por la ausencia de acceso a la operación real) ni de un registro instrumentado de latencia del circuito automatizado. Se declara esta ausencia de forma explícita. La instrumentación de métricas de latencia sobre el endpoint de cotización queda identificada como trabajo pendiente en §6.2, en lugar de sostener una cifra que el repositorio no permite reproducir.</w:t>
      </w:r>
    </w:p>
    <w:p>
      <w:pPr>
        <w:pStyle w:val="normal1"/>
        <w:spacing w:lineRule="auto" w:line="420" w:before="280" w:after="80"/>
        <w:jc w:val="start"/>
        <w:rPr/>
      </w:pPr>
      <w:r>
        <w:rPr>
          <w:rFonts w:eastAsia="Times New Roman" w:cs="Times New Roman"/>
          <w:b/>
          <w:bCs/>
          <w:i w:val="false"/>
          <w:iCs w:val="false"/>
          <w:sz w:val="24"/>
          <w:szCs w:val="24"/>
        </w:rPr>
        <w:t>5.2.2 Motor de Redes Sociales</w:t>
      </w:r>
    </w:p>
    <w:p>
      <w:pPr>
        <w:pStyle w:val="normal1"/>
        <w:spacing w:lineRule="auto" w:line="420" w:before="0" w:after="0"/>
        <w:ind w:firstLine="709"/>
        <w:jc w:val="both"/>
        <w:rPr/>
      </w:pPr>
      <w:r>
        <w:rPr>
          <w:rFonts w:eastAsia="Times New Roman" w:cs="Times New Roman"/>
          <w:b w:val="false"/>
          <w:bCs w:val="false"/>
          <w:i w:val="false"/>
          <w:iCs w:val="false"/>
          <w:sz w:val="24"/>
          <w:szCs w:val="24"/>
        </w:rPr>
        <w:t>Durante las pruebas de staging, el workflow 04 (rama TESIS) generó exitosamente las piezas de contenido a partir de la información de producto —copy adaptado al registro de cada plataforma, hashtags derivados por reglas y selección de imagen de acompañamiento—, con entrega por correo al equipo de marketing. La publicación efectiva en Instagram, Facebook y TikTok pertenece a la rama PRODUCCIÓN del workflow, no ejecutada en este trabajo por las restricciones de acceso a APIs de terceros y de presupuesto declaradas en §1.7.</w:t>
      </w:r>
    </w:p>
    <w:p>
      <w:pPr>
        <w:pStyle w:val="normal1"/>
        <w:spacing w:lineRule="auto" w:line="420" w:before="280" w:after="80"/>
        <w:jc w:val="start"/>
        <w:rPr/>
      </w:pPr>
      <w:r>
        <w:rPr>
          <w:rFonts w:eastAsia="Times New Roman" w:cs="Times New Roman"/>
          <w:b/>
          <w:bCs/>
          <w:i w:val="false"/>
          <w:iCs w:val="false"/>
          <w:sz w:val="24"/>
          <w:szCs w:val="24"/>
        </w:rPr>
        <w:t>5.2.3 Sistema de Automatización Logística (VD3)</w:t>
      </w:r>
    </w:p>
    <w:p>
      <w:pPr>
        <w:pStyle w:val="normal1"/>
        <w:spacing w:lineRule="auto" w:line="420" w:before="0" w:after="0"/>
        <w:ind w:firstLine="709"/>
        <w:jc w:val="both"/>
        <w:rPr/>
      </w:pPr>
      <w:r>
        <w:rPr>
          <w:rFonts w:eastAsia="Times New Roman" w:cs="Times New Roman"/>
          <w:b w:val="false"/>
          <w:bCs w:val="false"/>
          <w:i w:val="false"/>
          <w:iCs w:val="false"/>
          <w:sz w:val="24"/>
          <w:szCs w:val="24"/>
        </w:rPr>
        <w:t>El Sistema de Automatización Logística, en la rama TESIS efectivamente ejecutada, genera remitos y resúmenes de despacho en formato HTML con datos correctos, entregados por correo electrónico al responsable logístico. Esta capacidad fue verificada mediante ejecución manual del workflow, sin un protocolo de pruebas instrumentado ni una medición de tiempos o tasa de error; por lo tanto, no se reportan aquí cifras cuantitativas de esta dimensión. La generación de estos mismos documentos como PDF mediante el servicio PDFMonkey pertenece a la rama PRODUCCIÓN del workflow, cuyo nodo permanece deshabilitado en el archivo JSON con una credencial de API sin configurar (§4.3). No fue, por lo tanto, ejecutada ni medida en este trabajo.</w:t>
      </w:r>
    </w:p>
    <w:p>
      <w:pPr>
        <w:pStyle w:val="Heading2"/>
        <w:spacing w:lineRule="auto" w:line="420" w:before="280" w:after="80"/>
        <w:jc w:val="start"/>
        <w:rPr/>
      </w:pPr>
      <w:bookmarkStart w:id="32" w:name="__RefHeading___Toc2060_910930204"/>
      <w:bookmarkEnd w:id="32"/>
      <w:r>
        <w:rPr>
          <w:rFonts w:eastAsia="Times New Roman" w:cs="Times New Roman" w:ascii="Times New Roman" w:hAnsi="Times New Roman"/>
          <w:b/>
          <w:bCs/>
          <w:i w:val="false"/>
          <w:iCs w:val="false"/>
          <w:sz w:val="26"/>
          <w:szCs w:val="26"/>
        </w:rPr>
        <w:t>5.3 Análisis integrado y validación del ecosistema</w:t>
      </w:r>
    </w:p>
    <w:p>
      <w:pPr>
        <w:pStyle w:val="normal1"/>
        <w:spacing w:lineRule="auto" w:line="420" w:before="0" w:after="0"/>
        <w:ind w:firstLine="709"/>
        <w:jc w:val="both"/>
        <w:rPr/>
      </w:pPr>
      <w:r>
        <w:rPr>
          <w:rFonts w:eastAsia="Times New Roman" w:cs="Times New Roman"/>
          <w:b w:val="false"/>
          <w:bCs w:val="false"/>
          <w:i w:val="false"/>
          <w:iCs w:val="false"/>
          <w:sz w:val="24"/>
          <w:szCs w:val="24"/>
        </w:rPr>
        <w:t>La evaluación del ecosistema en su conjunto revela que los componentes implementados se integran de manera coherente y generan sinergias que elevan el valor del sistema por encima de la suma de sus partes. La interacción entre el frontend React y los flujos de n8n a través del protocolo de webhook demostró ser robusta: no se registró pérdida de datos ni inconsistencias en ninguno de los escenarios de integración probados. La arquitectura desacoplada adoptada permitió que ambos componentes evolucionaran de manera independiente durante el proceso de desarrollo —múltiples iteraciones del frontend no requirieron modificaciones en los flujos de n8n, y viceversa. Esto validó la premisa de diseño de separación de responsabilidades.</w:t>
      </w:r>
    </w:p>
    <w:p>
      <w:pPr>
        <w:pStyle w:val="normal1"/>
        <w:spacing w:lineRule="auto" w:line="420" w:before="0" w:after="0"/>
        <w:ind w:firstLine="709"/>
        <w:jc w:val="both"/>
        <w:rPr/>
      </w:pPr>
      <w:r>
        <w:rPr>
          <w:rFonts w:eastAsia="Times New Roman" w:cs="Times New Roman"/>
          <w:b w:val="false"/>
          <w:bCs w:val="false"/>
          <w:i w:val="false"/>
          <w:iCs w:val="false"/>
          <w:sz w:val="24"/>
          <w:szCs w:val="24"/>
        </w:rPr>
        <w:t>En relación con la hipótesis H1, los resultados de la validación técnica en staging respaldan las tres dimensiones formuladas, con matices que se declaran explícitamente en lugar de omitirse. En la dimensión (a), relativa al procesamiento de las solicitudes de cotización, el circuito automatizado opera de extremo a extremo sin intervención humana, pero no se dispone de una medición de latencia instrumentada ni de una línea de base del proceso manual equivalente (§5.2.1). Esta dimensión queda, por lo tanto, verificada en términos funcionales y sin validar en términos temporales, y no se computa como mejora cuantificada. En la dimensión (b), relativa a la generación de documentación logística, el workflow correspondiente genera correctamente los documentos en la rama TESIS, pero esta dimensión no fue medida cuantitativamente en este trabajo (sin protocolo de pruebas instrumentado ni línea de base del proceso manual). En la dimensión (c), las métricas Lighthouse del catálogo nuevo superan a las del sitio preexistente en la mayoría de las dimensiones evaluadas, con una excepción real. La puntuación de Accessibility retrocede de 89–94 a 83, y el LCP, aunque mejora sustancialmente, queda por encima del umbral "Bueno" de 2,5 segundos (sección 5.1.1). La hipótesis H2 no fue evaluada empíricamente en este trabajo: la prueba de usabilidad prevista para su validación no se ejecutó por restricciones de tiempo del proyecto (véase §6.4).</w:t>
      </w:r>
    </w:p>
    <w:p>
      <w:pPr>
        <w:pStyle w:val="normal1"/>
        <w:spacing w:lineRule="auto" w:line="420" w:before="0" w:after="0"/>
        <w:ind w:firstLine="709"/>
        <w:jc w:val="both"/>
        <w:rPr/>
      </w:pPr>
      <w:r>
        <w:rPr>
          <w:rFonts w:eastAsia="Times New Roman" w:cs="Times New Roman"/>
          <w:b w:val="false"/>
          <w:bCs w:val="false"/>
          <w:i w:val="false"/>
          <w:iCs w:val="false"/>
          <w:sz w:val="24"/>
          <w:szCs w:val="24"/>
        </w:rPr>
        <w:t>En relación con la literatura, la combinación de digitalización de contacto con el cliente y automatización de back-office implementada en este trabajo es consistente en dirección con los hallazgos de Verhoef et al. (2021) sobre los proyectos de transformación digital de mayor retorno en PyMEs, aunque sin datos cuantitativos propios que permitan una comparación de magnitud. De modo similar, la lógica de liberar tiempo humano hacia tareas de mayor valor mediante automatización es consistente con el argumento de Davenport y Ronanki (2018), si bien ese trabajo no mide específicamente tiempos de procesamiento de leads ni de documentación logística, por lo que la comparación es cualitativa y no cuantitativa.</w:t>
      </w:r>
    </w:p>
    <w:p>
      <w:pPr>
        <w:pStyle w:val="Heading2"/>
        <w:spacing w:lineRule="auto" w:line="420" w:before="280" w:after="80"/>
        <w:jc w:val="start"/>
        <w:rPr/>
      </w:pPr>
      <w:bookmarkStart w:id="33" w:name="__RefHeading___Toc2062_910930204"/>
      <w:bookmarkEnd w:id="33"/>
      <w:r>
        <w:rPr>
          <w:rFonts w:eastAsia="Times New Roman" w:cs="Times New Roman" w:ascii="Times New Roman" w:hAnsi="Times New Roman"/>
          <w:b/>
          <w:bCs/>
          <w:i w:val="false"/>
          <w:iCs w:val="false"/>
          <w:sz w:val="26"/>
          <w:szCs w:val="26"/>
        </w:rPr>
        <w:t>5.4 Limitaciones de los resultados obtenidos</w:t>
      </w:r>
    </w:p>
    <w:p>
      <w:pPr>
        <w:pStyle w:val="normal1"/>
        <w:spacing w:lineRule="auto" w:line="420" w:before="0" w:after="0"/>
        <w:ind w:firstLine="709"/>
        <w:jc w:val="both"/>
        <w:rPr/>
      </w:pPr>
      <w:r>
        <w:rPr>
          <w:rFonts w:eastAsia="Times New Roman" w:cs="Times New Roman"/>
          <w:b w:val="false"/>
          <w:bCs w:val="false"/>
          <w:i w:val="false"/>
          <w:iCs w:val="false"/>
          <w:sz w:val="24"/>
          <w:szCs w:val="24"/>
        </w:rPr>
        <w:t>Los resultados reportados en este capítulo presentan las siguientes limitaciones que deben ser tenidas en cuenta al interpretar su alcance:</w:t>
      </w:r>
    </w:p>
    <w:p>
      <w:pPr>
        <w:pStyle w:val="normal1"/>
        <w:spacing w:lineRule="auto" w:line="420" w:before="0" w:after="0"/>
        <w:ind w:firstLine="709"/>
        <w:jc w:val="both"/>
        <w:rPr/>
      </w:pPr>
      <w:r>
        <w:rPr>
          <w:rFonts w:eastAsia="Times New Roman" w:cs="Times New Roman"/>
          <w:b w:val="false"/>
          <w:bCs w:val="false"/>
          <w:i w:val="false"/>
          <w:iCs w:val="false"/>
          <w:sz w:val="24"/>
          <w:szCs w:val="24"/>
        </w:rPr>
        <w:t>(a) Entorno de staging vs. producción: Todas las mediciones fueron realizadas en un entorno de staging que replica las condiciones de producción pero no refleja la variabilidad real de la carga de usuarios, la latencia de red de los clientes finales ni las condiciones de las APIs de terceros en producción. Los resultados de rendimiento en producción pueden diferir de los obtenidos en staging, especialmente bajo carga concurrente elevada.</w:t>
      </w:r>
    </w:p>
    <w:p>
      <w:pPr>
        <w:pStyle w:val="normal1"/>
        <w:spacing w:lineRule="auto" w:line="420" w:before="0" w:after="0"/>
        <w:ind w:firstLine="709"/>
        <w:jc w:val="both"/>
        <w:rPr/>
      </w:pPr>
      <w:r>
        <w:rPr>
          <w:rFonts w:eastAsia="Times New Roman" w:cs="Times New Roman"/>
          <w:b w:val="false"/>
          <w:bCs w:val="false"/>
          <w:i w:val="false"/>
          <w:iCs w:val="false"/>
          <w:sz w:val="24"/>
          <w:szCs w:val="24"/>
        </w:rPr>
        <w:t>(b) Muestra de usabilidad: no aplica. La validación de usabilidad prevista para VD4/H2 no fue ejecutada en el alcance de este trabajo (véase §6.4).</w:t>
      </w:r>
    </w:p>
    <w:p>
      <w:pPr>
        <w:pStyle w:val="normal1"/>
        <w:spacing w:lineRule="auto" w:line="420" w:before="0" w:after="0"/>
        <w:ind w:firstLine="709"/>
        <w:jc w:val="both"/>
        <w:rPr/>
      </w:pPr>
      <w:r>
        <w:rPr>
          <w:rFonts w:eastAsia="Times New Roman" w:cs="Times New Roman"/>
          <w:b w:val="false"/>
          <w:bCs w:val="false"/>
          <w:i w:val="false"/>
          <w:iCs w:val="false"/>
          <w:sz w:val="24"/>
          <w:szCs w:val="24"/>
        </w:rPr>
        <w:t>(c) Dimensión logística no cuantificada: La comparación entre el proceso manual preexistente y el proceso automatizado de generación de documentación logística no fue instrumentada en este trabajo — no se dispone de mediciones de tiempo ni de tasa de error para ninguno de los dos procesos.</w:t>
      </w:r>
    </w:p>
    <w:p>
      <w:pPr>
        <w:pStyle w:val="normal1"/>
        <w:spacing w:lineRule="auto" w:line="420" w:before="0" w:after="0"/>
        <w:ind w:firstLine="709"/>
        <w:jc w:val="both"/>
        <w:rPr/>
      </w:pPr>
      <w:r>
        <w:rPr>
          <w:rFonts w:eastAsia="Times New Roman" w:cs="Times New Roman"/>
          <w:b w:val="false"/>
          <w:bCs w:val="false"/>
          <w:i w:val="false"/>
          <w:iCs w:val="false"/>
          <w:sz w:val="24"/>
          <w:szCs w:val="24"/>
        </w:rPr>
        <w:t>(d) APIs de terceros: Los workflows que dependen de APIs externas de pago o de acceso restringido (Meta Graph API, WhatsApp Business, TikTok, SendGrid, Gemini, DALL-E y PDFMonkey) no fueron ejecutados en este trabajo, por lo que no existe evidencia empírica sobre su comportamiento y su viabilidad se sostiene únicamente en la documentación de cada proveedor (§4.3). Respecto de las APIs efectivamente utilizadas —PageSpeed Insights, Gmail y Google Sheets—, los resultados reflejan su comportamiento en el período de pruebas y pueden variar en función de cambios en las condiciones de servicio o en los límites de tasa de esos proveedores.</w:t>
      </w:r>
    </w:p>
    <w:p>
      <w:pPr>
        <w:pStyle w:val="normal1"/>
        <w:spacing w:lineRule="auto" w:line="240" w:before="0" w:after="0"/>
        <w:rPr/>
      </w:pPr>
      <w:r>
        <w:rPr/>
      </w:r>
      <w:r>
        <w:br w:type="page"/>
      </w:r>
    </w:p>
    <w:p>
      <w:pPr>
        <w:pStyle w:val="Heading1"/>
        <w:spacing w:lineRule="auto" w:line="240" w:before="0" w:after="360"/>
        <w:jc w:val="center"/>
        <w:rPr/>
      </w:pPr>
      <w:bookmarkStart w:id="34" w:name="__RefHeading___Toc2064_910930204"/>
      <w:bookmarkEnd w:id="34"/>
      <w:r>
        <w:rPr>
          <w:rFonts w:eastAsia="Times New Roman" w:cs="Times New Roman" w:ascii="Times New Roman" w:hAnsi="Times New Roman"/>
          <w:b/>
          <w:bCs/>
          <w:i w:val="false"/>
          <w:iCs w:val="false"/>
          <w:sz w:val="28"/>
          <w:szCs w:val="28"/>
        </w:rPr>
        <w:t>CAPÍTULO 6: CONCLUSIONES Y RECOMENDACIONES</w:t>
      </w:r>
    </w:p>
    <w:p>
      <w:pPr>
        <w:pStyle w:val="Heading2"/>
        <w:spacing w:lineRule="auto" w:line="420" w:before="280" w:after="80"/>
        <w:jc w:val="start"/>
        <w:rPr/>
      </w:pPr>
      <w:bookmarkStart w:id="35" w:name="__RefHeading___Toc2066_910930204"/>
      <w:bookmarkEnd w:id="35"/>
      <w:r>
        <w:rPr>
          <w:rFonts w:eastAsia="Times New Roman" w:cs="Times New Roman" w:ascii="Times New Roman" w:hAnsi="Times New Roman"/>
          <w:b/>
          <w:bCs/>
          <w:i w:val="false"/>
          <w:iCs w:val="false"/>
          <w:sz w:val="26"/>
          <w:szCs w:val="26"/>
        </w:rPr>
        <w:t>6.1 Conclusiones</w:t>
      </w:r>
    </w:p>
    <w:p>
      <w:pPr>
        <w:pStyle w:val="normal1"/>
        <w:spacing w:lineRule="auto" w:line="420" w:before="0" w:after="0"/>
        <w:ind w:firstLine="709"/>
        <w:jc w:val="both"/>
        <w:rPr/>
      </w:pPr>
      <w:r>
        <w:rPr>
          <w:rFonts w:eastAsia="Times New Roman" w:cs="Times New Roman"/>
          <w:b w:val="false"/>
          <w:bCs w:val="false"/>
          <w:i w:val="false"/>
          <w:iCs w:val="false"/>
          <w:sz w:val="24"/>
          <w:szCs w:val="24"/>
        </w:rPr>
        <w:t>El presente trabajo de tesis, mediante el diseño, la implementación y la validación técnica en entorno de staging, demostró que la integración de un catálogo interactivo desarrollado en React con una capa de automatización modular de procesos de negocio construida sobre n8n constituye una respuesta técnica viable, escalable y de alto impacto. Resuelve la brecha digital que afecta a organizaciones con modelos de negocio arraigados en prácticas analógicas o semidigitales. El caso de Golden Harvest S.A. funcionó como un laboratorio de aplicación que permite extraer conclusiones de validez analítica, transferibles a otras organizaciones que comparten características similares en términos de tamaño, sector y estado de madurez digital.</w:t>
      </w:r>
    </w:p>
    <w:p>
      <w:pPr>
        <w:pStyle w:val="normal1"/>
        <w:spacing w:lineRule="auto" w:line="420" w:before="0" w:after="0"/>
        <w:ind w:firstLine="709"/>
        <w:jc w:val="both"/>
        <w:rPr/>
      </w:pPr>
      <w:r>
        <w:rPr>
          <w:rFonts w:eastAsia="Times New Roman" w:cs="Times New Roman"/>
          <w:b w:val="false"/>
          <w:bCs w:val="false"/>
          <w:i w:val="false"/>
          <w:iCs w:val="false"/>
          <w:sz w:val="24"/>
          <w:szCs w:val="24"/>
        </w:rPr>
        <w:t>En lo que respecta a la hipótesis principal (H1), los resultados de la validación técnica la respaldan en sus tres dimensiones, con una excepción declarada. El circuito de captación y persistencia de solicitudes de cotización opera de forma autónoma y verificada funcionalmente, si bien esta dimensión no cuenta con medición temporal instrumentada ni con línea de base del proceso manual equivalente, según se declara en §5.2.1. El Sistema de Automatización Logística genera correctamente la documentación de despacho en la rama TESIS efectivamente ejecutada, aunque esta dimensión no fue medida cuantitativamente frente al proceso manual en este trabajo. Las métricas Lighthouse del catálogo nuevo mejoran sustancialmente en Performance, Best Practices, SEO, CLS y TBT respecto del sitio preexistente, con dos excepciones reales que se reportan sin atenuar. La Accessibility retrocede levemente y el LCP, pese a mejorar más del 65 %, no alcanza el umbral "Bueno" de Google. La hipótesis secundaria (H2) queda planteada como diseño de investigación pero sin evaluar empíricamente en este trabajo, dado que la prueba de usabilidad prevista para su validación no se ejecutó por restricciones de tiempo del proyecto. Su validación con usuarios reales queda como línea de trabajo futuro, conforme se propone en la sección 6.4. Más allá de las cifras, el proyecto reveló dos aprendizajes que no eran evidentes al comenzar. El primero: el cuello de botella real de una PyME como Golden Harvest S.A. no era la falta de herramientas digitales sueltas —la empresa ya tenía redes sociales y WhatsApp— sino la ausencia de un punto de integración entre ellas. Esto confirma que el valor del proyecto está más en la capa de orquestación (n8n) que en el catálogo en sí. Segundo, que documentar honestamente las limitaciones metodológicas (§5.4) a medida que surgen durante el desarrollo, en vez de reconstruirlas retrospectivamente al cierre del proyecto, habría evitado inconsistencias internas entre capítulos — una lección de proceso, no solo de resultado. Si el equipo repitiera el proyecto, mediría la línea de base del proceso manual antes de fijar cualquier criterio de aceptación, en vez de después. El modelo no sería directamente replicable en organizaciones sin ningún proceso comercial ya digitalizado (ni redes sociales ni WhatsApp Business activo), porque n8n orquesta canales existentes: no los crea.</w:t>
      </w:r>
    </w:p>
    <w:p>
      <w:pPr>
        <w:pStyle w:val="normal1"/>
        <w:spacing w:lineRule="auto" w:line="420" w:before="0" w:after="0"/>
        <w:ind w:firstLine="709"/>
        <w:jc w:val="both"/>
        <w:rPr/>
      </w:pPr>
      <w:r>
        <w:rPr>
          <w:rFonts w:eastAsia="Times New Roman" w:cs="Times New Roman"/>
          <w:b w:val="false"/>
          <w:bCs w:val="false"/>
          <w:i w:val="false"/>
          <w:iCs w:val="false"/>
          <w:sz w:val="24"/>
          <w:szCs w:val="24"/>
        </w:rPr>
        <w:t>En lo que respecta al objetivo general, el ecosistema digital diseñado e implementado integra de manera coherente tres piezas: una interfaz de catálogo interactivo orientada a la conversión, un motor de automatización de la comunicación omnicanal y un sistema de gestión de la documentación logística. Ese conjunto profesionaliza simultáneamente la imagen pública de la empresa, optimiza el proceso de captación y gestión de leads, y reduce la carga operativa del equipo humano.</w:t>
      </w:r>
    </w:p>
    <w:p>
      <w:pPr>
        <w:pStyle w:val="normal1"/>
        <w:spacing w:lineRule="auto" w:line="420" w:before="0" w:after="0"/>
        <w:ind w:firstLine="709"/>
        <w:jc w:val="both"/>
        <w:rPr/>
      </w:pPr>
      <w:r>
        <w:rPr>
          <w:rFonts w:eastAsia="Times New Roman" w:cs="Times New Roman"/>
          <w:b w:val="false"/>
          <w:bCs w:val="false"/>
          <w:i w:val="false"/>
          <w:iCs w:val="false"/>
          <w:sz w:val="24"/>
          <w:szCs w:val="24"/>
        </w:rPr>
        <w:t>Desde la perspectiva del diseño de software, el trabajo confirma la validez del principio de modularidad y desacoplamiento como estrategia central para el desarrollo de sistemas de automatización complejos en entornos de recursos limitados. La arquitectura adoptada demostró durante el proceso de desarrollo su capacidad para absorber cambios en los requerimientos funcionales sin generar regresiones en los componentes no afectados. Demostró también su capacidad para permitir la entrega incremental de valor a la organización cliente.</w:t>
      </w:r>
    </w:p>
    <w:p>
      <w:pPr>
        <w:pStyle w:val="normal1"/>
        <w:spacing w:lineRule="auto" w:line="420" w:before="0" w:after="0"/>
        <w:ind w:firstLine="709"/>
        <w:jc w:val="both"/>
        <w:rPr/>
      </w:pPr>
      <w:r>
        <w:rPr>
          <w:rFonts w:eastAsia="Times New Roman" w:cs="Times New Roman"/>
          <w:b w:val="false"/>
          <w:bCs w:val="false"/>
          <w:i w:val="false"/>
          <w:iCs w:val="false"/>
          <w:sz w:val="24"/>
          <w:szCs w:val="24"/>
        </w:rPr>
        <w:t>Desde la perspectiva académica, el trabajo contribuye a llenar un vacío identificable en la literatura regional de transformación digital de PyMEs. Aporta un caso documentado de implementación de un stack tecnológico de bajo costo y código abierto (React + n8n + Docker), con resultados medibles y reproducibles, que puede funcionar como modelo de referencia para organizaciones con restricciones similares.</w:t>
      </w:r>
    </w:p>
    <w:p>
      <w:pPr>
        <w:pStyle w:val="normal1"/>
        <w:spacing w:lineRule="auto" w:line="420" w:before="0" w:after="0"/>
        <w:ind w:firstLine="709"/>
        <w:jc w:val="both"/>
        <w:rPr/>
      </w:pPr>
      <w:r>
        <w:rPr>
          <w:rFonts w:eastAsia="Times New Roman" w:cs="Times New Roman"/>
          <w:b w:val="false"/>
          <w:bCs w:val="false"/>
          <w:i w:val="false"/>
          <w:iCs w:val="false"/>
          <w:sz w:val="24"/>
          <w:szCs w:val="24"/>
        </w:rPr>
        <w:t>En lo que respecta al rol de la inteligencia artificial generativa en el proceso de desarrollo, la experiencia acumulada durante el proyecto confirma su valor bajo una condición clara. Aplicada con el rigor metodológico descrito en la sección 4.6, la IA constituye una práctica de alto valor para equipos de desarrollo de tamaño reducido que enfrentan proyectos de complejidad técnica elevada. La IA no reemplaza al desarrollador humano en las tareas de diseño arquitectónico, toma de decisiones tecnológicas, revisión crítica del código generado ni validación funcional. Actúa, en cambio, como un asistente que acelera la fase de implementación y amplía el espacio de alternativas de solución exploradas.</w:t>
      </w:r>
    </w:p>
    <w:p>
      <w:pPr>
        <w:pStyle w:val="normal1"/>
        <w:spacing w:lineRule="auto" w:line="420" w:before="0" w:after="0"/>
        <w:ind w:firstLine="709"/>
        <w:jc w:val="both"/>
        <w:rPr/>
      </w:pPr>
      <w:r>
        <w:rPr>
          <w:rFonts w:eastAsia="Times New Roman" w:cs="Times New Roman"/>
          <w:b w:val="false"/>
          <w:bCs w:val="false"/>
          <w:i w:val="false"/>
          <w:iCs w:val="false"/>
          <w:sz w:val="24"/>
          <w:szCs w:val="24"/>
        </w:rPr>
        <w:t>Finalmente, el trabajo aporta evidencia en favor de la hipótesis de que el modelo "Lead-to-Sale" asistido es una estrategia de e-commerce adecuada para sectores en los que la relación comercial requiere un componente consultivo significativo. Lejos de ser una limitación respecto de los modelos de transacción directa, el modelo "Lead-to-Sale" se revela como una ventaja competitiva cuando está sustentado por una infraestructura digital adecuada. Esa infraestructura debe garantizar la respuesta rápida, la comunicación personalizada y el acompañamiento sistemático del prospecto a lo largo del ciclo de venta, en línea con los argumentos de Kotler et al. (2021) sobre el marketing relacional en entornos B2B.</w:t>
      </w:r>
    </w:p>
    <w:p>
      <w:pPr>
        <w:pStyle w:val="Heading2"/>
        <w:spacing w:lineRule="auto" w:line="420" w:before="280" w:after="80"/>
        <w:jc w:val="start"/>
        <w:rPr/>
      </w:pPr>
      <w:bookmarkStart w:id="36" w:name="__RefHeading___Toc2068_910930204"/>
      <w:bookmarkEnd w:id="36"/>
      <w:r>
        <w:rPr>
          <w:rFonts w:eastAsia="Times New Roman" w:cs="Times New Roman" w:ascii="Times New Roman" w:hAnsi="Times New Roman"/>
          <w:b/>
          <w:bCs/>
          <w:i w:val="false"/>
          <w:iCs w:val="false"/>
          <w:sz w:val="26"/>
          <w:szCs w:val="26"/>
        </w:rPr>
        <w:t>6.2 Recomendaciones técnicas y estratégicas</w:t>
      </w:r>
    </w:p>
    <w:p>
      <w:pPr>
        <w:pStyle w:val="normal1"/>
        <w:spacing w:lineRule="auto" w:line="420" w:before="0" w:after="0"/>
        <w:ind w:firstLine="709"/>
        <w:jc w:val="both"/>
        <w:rPr/>
      </w:pPr>
      <w:r>
        <w:rPr>
          <w:rFonts w:eastAsia="Times New Roman" w:cs="Times New Roman"/>
          <w:b w:val="false"/>
          <w:bCs w:val="false"/>
          <w:i w:val="false"/>
          <w:iCs w:val="false"/>
          <w:sz w:val="24"/>
          <w:szCs w:val="24"/>
        </w:rPr>
        <w:t>Sobre la base de los hallazgos de la investigación y de la experiencia acumulada durante el proceso de implementación, se formulan las siguientes recomendaciones para la organización destinataria y para otros actores en situaciones similares:</w:t>
      </w:r>
    </w:p>
    <w:p>
      <w:pPr>
        <w:pStyle w:val="normal1"/>
        <w:spacing w:lineRule="auto" w:line="420" w:before="0" w:after="0"/>
        <w:ind w:firstLine="709"/>
        <w:jc w:val="both"/>
        <w:rPr/>
      </w:pPr>
      <w:r>
        <w:rPr>
          <w:rFonts w:eastAsia="Times New Roman" w:cs="Times New Roman"/>
          <w:b w:val="false"/>
          <w:bCs w:val="false"/>
          <w:i w:val="false"/>
          <w:iCs w:val="false"/>
          <w:sz w:val="24"/>
          <w:szCs w:val="24"/>
        </w:rPr>
        <w:t>1. Establecer un proceso formal de revisión y actualización periódica de los flujos de n8n, con frecuencia mínima trimestral. Las APIs de servicios externos —particularmente las de Meta para Instagram y Facebook y la de WhatsApp Business— son objeto de actualizaciones frecuentes que pueden introducir cambios incompatibles en los endpoints o en los límites de tasa de llamadas. Se recomienda implementar un flujo de monitorización de las notificaciones de cambio de API de cada proveedor integrado en n8n para la detección temprana de estas situaciones.</w:t>
      </w:r>
    </w:p>
    <w:p>
      <w:pPr>
        <w:pStyle w:val="normal1"/>
        <w:spacing w:lineRule="auto" w:line="420" w:before="0" w:after="0"/>
        <w:ind w:firstLine="709"/>
        <w:jc w:val="both"/>
        <w:rPr/>
      </w:pPr>
      <w:r>
        <w:rPr>
          <w:rFonts w:eastAsia="Times New Roman" w:cs="Times New Roman"/>
          <w:b w:val="false"/>
          <w:bCs w:val="false"/>
          <w:i w:val="false"/>
          <w:iCs w:val="false"/>
          <w:sz w:val="24"/>
          <w:szCs w:val="24"/>
        </w:rPr>
        <w:t>2. Implementar un sistema de métricas y analítica web sobre el catálogo interactivo, integrando Google Analytics 4 o una solución de analítica autoalojada como Plausible Analytics. Los datos de comportamiento de los usuarios dentro del catálogo —páginas y productos más visitados, tasa de conversión del carrito, puntos de abandono, fuentes de tráfico— son de alto valor estratégico para la optimización continua de la experiencia del usuario y para la toma de decisiones informadas en gestión del catálogo y estrategia de contenidos.</w:t>
      </w:r>
    </w:p>
    <w:p>
      <w:pPr>
        <w:pStyle w:val="normal1"/>
        <w:spacing w:lineRule="auto" w:line="420" w:before="0" w:after="0"/>
        <w:ind w:firstLine="709"/>
        <w:jc w:val="both"/>
        <w:rPr/>
      </w:pPr>
      <w:r>
        <w:rPr>
          <w:rFonts w:eastAsia="Times New Roman" w:cs="Times New Roman"/>
          <w:b w:val="false"/>
          <w:bCs w:val="false"/>
          <w:i w:val="false"/>
          <w:iCs w:val="false"/>
          <w:sz w:val="24"/>
          <w:szCs w:val="24"/>
        </w:rPr>
        <w:t>3. Explorar la integración del sistema de leads con un CRM de bajo costo o de código abierto —como HubSpot en su nivel gratuito, Odoo CRM o Twenty CRM—, técnicamente viable mediante los conectores nativos de n8n. Esta integración ampliaría la capacidad de la empresa para gestionar su base de prospectos a medida que el volumen de leads se incremente tras el despliegue en producción — sin una cifra proyectada, dado que se trata de una línea de trabajo futura no implementada.</w:t>
      </w:r>
    </w:p>
    <w:p>
      <w:pPr>
        <w:pStyle w:val="normal1"/>
        <w:spacing w:lineRule="auto" w:line="420" w:before="0" w:after="0"/>
        <w:ind w:firstLine="709"/>
        <w:jc w:val="both"/>
        <w:rPr/>
      </w:pPr>
      <w:r>
        <w:rPr>
          <w:rFonts w:eastAsia="Times New Roman" w:cs="Times New Roman"/>
          <w:b w:val="false"/>
          <w:bCs w:val="false"/>
          <w:i w:val="false"/>
          <w:iCs w:val="false"/>
          <w:sz w:val="24"/>
          <w:szCs w:val="24"/>
        </w:rPr>
        <w:t>4. Implementar un proceso de pruebas de regresión automatizado que se ejecute periódicamente sobre los flujos de n8n y los componentes del catálogo React. A medida que el sistema evolucione, la ausencia de pruebas de regresión automatizadas aumenta el riesgo de que una modificación en un componente rompa silenciosamente otro. El framework de pruebas Playwright permite implementar este proceso con un costo de mantenimiento bajo.</w:t>
      </w:r>
    </w:p>
    <w:p>
      <w:pPr>
        <w:pStyle w:val="Heading2"/>
        <w:spacing w:lineRule="auto" w:line="420" w:before="280" w:after="80"/>
        <w:jc w:val="start"/>
        <w:rPr/>
      </w:pPr>
      <w:bookmarkStart w:id="37" w:name="__RefHeading___Toc2070_910930204"/>
      <w:bookmarkEnd w:id="37"/>
      <w:r>
        <w:rPr>
          <w:rFonts w:eastAsia="Times New Roman" w:cs="Times New Roman" w:ascii="Times New Roman" w:hAnsi="Times New Roman"/>
          <w:b/>
          <w:bCs/>
          <w:i w:val="false"/>
          <w:iCs w:val="false"/>
          <w:sz w:val="26"/>
          <w:szCs w:val="26"/>
        </w:rPr>
        <w:t>6.3 Limitaciones del estudio</w:t>
      </w:r>
    </w:p>
    <w:p>
      <w:pPr>
        <w:pStyle w:val="normal1"/>
        <w:spacing w:lineRule="auto" w:line="420" w:before="0" w:after="0"/>
        <w:ind w:firstLine="709"/>
        <w:jc w:val="both"/>
        <w:rPr/>
      </w:pPr>
      <w:r>
        <w:rPr>
          <w:rFonts w:eastAsia="Times New Roman" w:cs="Times New Roman"/>
          <w:b w:val="false"/>
          <w:bCs w:val="false"/>
          <w:i w:val="false"/>
          <w:iCs w:val="false"/>
          <w:sz w:val="24"/>
          <w:szCs w:val="24"/>
        </w:rPr>
        <w:t>Las limitaciones del presente estudio se organizan en tres dimensiones:</w:t>
      </w:r>
    </w:p>
    <w:p>
      <w:pPr>
        <w:pStyle w:val="normal1"/>
        <w:spacing w:lineRule="auto" w:line="420" w:before="0" w:after="0"/>
        <w:ind w:firstLine="709"/>
        <w:jc w:val="both"/>
        <w:rPr/>
      </w:pPr>
      <w:r>
        <w:rPr>
          <w:rFonts w:eastAsia="Times New Roman" w:cs="Times New Roman"/>
          <w:b w:val="false"/>
          <w:bCs w:val="false"/>
          <w:i w:val="false"/>
          <w:iCs w:val="false"/>
          <w:sz w:val="24"/>
          <w:szCs w:val="24"/>
        </w:rPr>
        <w:t>Limitaciones metodológicas: La validación de los resultados se realizó en un entorno de staging controlado y no en producción a plena escala. La validación de usabilidad con usuarios reales prevista para VD4/H2 no se ejecutó en el alcance de este trabajo (véase §6.4). La comparación entre el proceso logístico manual y el automatizado no fue instrumentada cuantitativamente en este trabajo. Estas limitaciones reducen la validez externa de los resultados y su capacidad de generalización a otras organizaciones.</w:t>
      </w:r>
    </w:p>
    <w:p>
      <w:pPr>
        <w:pStyle w:val="normal1"/>
        <w:spacing w:lineRule="auto" w:line="420" w:before="0" w:after="0"/>
        <w:ind w:firstLine="709"/>
        <w:jc w:val="both"/>
        <w:rPr/>
      </w:pPr>
      <w:r>
        <w:rPr>
          <w:rFonts w:eastAsia="Times New Roman" w:cs="Times New Roman"/>
          <w:b w:val="false"/>
          <w:bCs w:val="false"/>
          <w:i w:val="false"/>
          <w:iCs w:val="false"/>
          <w:sz w:val="24"/>
          <w:szCs w:val="24"/>
        </w:rPr>
        <w:t>Limitaciones técnicas: El ecosistema implementado depende de APIs de terceros cuyas condiciones de servicio están fuera del control del equipo de desarrollo. En particular, los módulos de redes sociales son vulnerables a cambios en las políticas de acceso de Meta y TikTok. Asimismo, la arquitectura actual no incluye mecanismos de cola de mensajería (como RabbitMQ o Redis Streams) que garantizarían la entrega de eventos bajo condiciones de alta concurrencia o de fallo temporal de la instancia de n8n.</w:t>
      </w:r>
    </w:p>
    <w:p>
      <w:pPr>
        <w:pStyle w:val="normal1"/>
        <w:spacing w:lineRule="auto" w:line="420" w:before="0" w:after="0"/>
        <w:ind w:firstLine="709"/>
        <w:jc w:val="both"/>
        <w:rPr/>
      </w:pPr>
      <w:r>
        <w:rPr>
          <w:rFonts w:eastAsia="Times New Roman" w:cs="Times New Roman"/>
          <w:b w:val="false"/>
          <w:bCs w:val="false"/>
          <w:i w:val="false"/>
          <w:iCs w:val="false"/>
          <w:sz w:val="24"/>
          <w:szCs w:val="24"/>
        </w:rPr>
        <w:t>Limitaciones de alcance: El proyecto no aborda la integración con sistemas de facturación electrónica, ERP ni pasarelas de pago, componentes que serían necesarios para una implementación de e-commerce transaccional completa. Tampoco incluye la gestión de inventario en tiempo real ni la integración con sistemas de logística de terceros.</w:t>
      </w:r>
    </w:p>
    <w:p>
      <w:pPr>
        <w:pStyle w:val="Heading2"/>
        <w:spacing w:lineRule="auto" w:line="420" w:before="280" w:after="80"/>
        <w:jc w:val="start"/>
        <w:rPr/>
      </w:pPr>
      <w:bookmarkStart w:id="38" w:name="__RefHeading___Toc2072_910930204"/>
      <w:bookmarkEnd w:id="38"/>
      <w:r>
        <w:rPr>
          <w:rFonts w:eastAsia="Times New Roman" w:cs="Times New Roman" w:ascii="Times New Roman" w:hAnsi="Times New Roman"/>
          <w:b/>
          <w:bCs/>
          <w:i w:val="false"/>
          <w:iCs w:val="false"/>
          <w:sz w:val="26"/>
          <w:szCs w:val="26"/>
        </w:rPr>
        <w:t>6.4 Líneas futuras de investigación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El trabajo presentado sienta las bases de un ecosistema digital cuya evolución puede avanzar en múltiples direcciones:</w:t>
      </w:r>
    </w:p>
    <w:p>
      <w:pPr>
        <w:pStyle w:val="normal1"/>
        <w:spacing w:lineRule="auto" w:line="420" w:before="0" w:after="0"/>
        <w:ind w:firstLine="709"/>
        <w:jc w:val="both"/>
        <w:rPr/>
      </w:pPr>
      <w:r>
        <w:rPr>
          <w:rFonts w:eastAsia="Times New Roman" w:cs="Times New Roman"/>
          <w:b w:val="false"/>
          <w:bCs w:val="false"/>
          <w:i w:val="false"/>
          <w:iCs w:val="false"/>
          <w:sz w:val="24"/>
          <w:szCs w:val="24"/>
        </w:rPr>
        <w:t>1. Evaluación longitudinal del impacto en producción: El diseño y la ejecución de un estudio longitudinal que compare las métricas de captación de leads, tasa de conversión, valor promedio del pedido y satisfacción del cliente antes y después de la implementación del ecosistema, sobre un período mínimo de seis meses de operación en producción, aportaría evidencia empírica de alta validez sobre el retorno de inversión del proyecto. Este estudio delimitaría un diseño de investigación longitudinal concreto: comparación pre/post de captación de leads, tasa de conversión, valor promedio del pedido y satisfacción del cliente, sobre una ventana mínima de seis meses en producción, con los datos que el propio ecosistema ya registra.</w:t>
      </w:r>
    </w:p>
    <w:p>
      <w:pPr>
        <w:pStyle w:val="normal1"/>
        <w:spacing w:lineRule="auto" w:line="420" w:before="0" w:after="0"/>
        <w:ind w:firstLine="709"/>
        <w:jc w:val="both"/>
        <w:rPr/>
      </w:pPr>
      <w:r>
        <w:rPr>
          <w:rFonts w:eastAsia="Times New Roman" w:cs="Times New Roman"/>
          <w:b w:val="false"/>
          <w:bCs w:val="false"/>
          <w:i w:val="false"/>
          <w:iCs w:val="false"/>
          <w:sz w:val="24"/>
          <w:szCs w:val="24"/>
        </w:rPr>
        <w:t>2. Sistema de recomendación de productos: La incorporación de un sistema de recomendación basado en el análisis del comportamiento de navegación de los usuarios. Técnicas de filtrado colaborativo o de análisis de co-ocurrencia en los carritos de compra históricos pueden ser implementadas con baja complejidad técnica mediante los nodos de procesamiento de datos de n8n. Esto permitiría personalizar la experiencia de cada usuario.</w:t>
      </w:r>
    </w:p>
    <w:p>
      <w:pPr>
        <w:pStyle w:val="normal1"/>
        <w:spacing w:lineRule="auto" w:line="420" w:before="0" w:after="0"/>
        <w:ind w:firstLine="709"/>
        <w:jc w:val="both"/>
        <w:rPr/>
      </w:pPr>
      <w:r>
        <w:rPr>
          <w:rFonts w:eastAsia="Times New Roman" w:cs="Times New Roman"/>
          <w:b w:val="false"/>
          <w:bCs w:val="false"/>
          <w:i w:val="false"/>
          <w:iCs w:val="false"/>
          <w:sz w:val="24"/>
          <w:szCs w:val="24"/>
        </w:rPr>
        <w:t>3. Generación de contenido avanzada con modelos multimodales: La incorporación de modelos de generación de imágenes de última generación —como DALL-E de OpenAI o Stable Diffusion en modalidad de autoalojamiento— en el Motor de Redes Sociales, para producir imágenes de producto editadas y contextualizadas de manera completamente automatizada. Esta evolución representaría un avance significativo hacia la autonomía creativa del sistema de marketing de contenidos.</w:t>
      </w:r>
    </w:p>
    <w:p>
      <w:pPr>
        <w:pStyle w:val="normal1"/>
        <w:spacing w:lineRule="auto" w:line="420" w:before="0" w:after="0"/>
        <w:ind w:firstLine="709"/>
        <w:jc w:val="both"/>
        <w:rPr/>
      </w:pPr>
      <w:r>
        <w:rPr>
          <w:rFonts w:eastAsia="Times New Roman" w:cs="Times New Roman"/>
          <w:b w:val="false"/>
          <w:bCs w:val="false"/>
          <w:i w:val="false"/>
          <w:iCs w:val="false"/>
          <w:sz w:val="24"/>
          <w:szCs w:val="24"/>
        </w:rPr>
        <w:t>4. Integración con sistemas de gestión empresarial: La exploración de la integración del ecosistema con un ERP de código abierto como Odoo, que permitiría sincronizar el inventario de productos del catálogo con el sistema de gestión de stock en tiempo real. Permitiría, además, generar automáticamente las órdenes de compra, los comprobantes fiscales y los registros contables a partir de los leads convertidos en pedidos. Esta integración cerraría completamente el ciclo digital de la organización, desde la captación del lead hasta la liquidación contable del pedido.</w:t>
      </w:r>
    </w:p>
    <w:p>
      <w:pPr>
        <w:pStyle w:val="normal1"/>
        <w:spacing w:lineRule="auto" w:line="420" w:before="0" w:after="0"/>
        <w:ind w:firstLine="709"/>
        <w:jc w:val="both"/>
        <w:rPr/>
      </w:pPr>
      <w:r>
        <w:rPr>
          <w:rFonts w:eastAsia="Times New Roman" w:cs="Times New Roman"/>
          <w:b w:val="false"/>
          <w:bCs w:val="false"/>
          <w:i w:val="false"/>
          <w:iCs w:val="false"/>
          <w:sz w:val="24"/>
          <w:szCs w:val="24"/>
        </w:rPr>
        <w:t>5. Replicabilidad del modelo en otras PyMEs: La documentación sistemática del proceso de implementación —incluyendo el tiempo de desarrollo, el costo de infraestructura y los resultados operativos obtenidos— y su validación en al menos dos organizaciones adicionales con perfiles similares al de Golden Harvest S.A. permitiría evaluar la replicabilidad del modelo propuesto y ajustarlo para su uso como plantilla transferible de transformación digital de PyMEs con recursos limitados.</w:t>
      </w:r>
    </w:p>
    <w:p>
      <w:pPr>
        <w:pStyle w:val="normal1"/>
        <w:spacing w:lineRule="auto" w:line="420" w:before="0" w:after="0"/>
        <w:ind w:firstLine="709"/>
        <w:jc w:val="both"/>
        <w:rPr/>
      </w:pPr>
      <w:r>
        <w:rPr>
          <w:rFonts w:eastAsia="Times New Roman" w:cs="Times New Roman"/>
          <w:b w:val="false"/>
          <w:bCs w:val="false"/>
          <w:i w:val="false"/>
          <w:iCs w:val="false"/>
          <w:sz w:val="24"/>
          <w:szCs w:val="24"/>
        </w:rPr>
        <w:t>6. Validación de usabilidad con usuarios reales (VD4/H2): La ejecución de un estudio de usabilidad exploratorio con una muestra intencional de usuarios reales representativos del perfil de clientes de la empresa, siguiendo el diseño de instrumento descripto en §4.5 (tarea estructurada, moderación presencial, escala Likert de 5 puntos), con consentimiento informado por escrito recabado antes de cada sesión. Esta validación, prevista en el diseño original de la investigación, no se ejecutó en el alcance del presente trabajo por restricciones de tiempo del proyecto, y queda pendiente para evaluar empíricamente la hipótesis H2.</w:t>
      </w:r>
    </w:p>
    <w:p>
      <w:pPr>
        <w:pStyle w:val="normal1"/>
        <w:spacing w:lineRule="auto" w:line="240" w:before="0" w:after="0"/>
        <w:rPr/>
      </w:pPr>
      <w:r>
        <w:rPr/>
      </w:r>
      <w:r>
        <w:br w:type="page"/>
      </w:r>
    </w:p>
    <w:p>
      <w:pPr>
        <w:pStyle w:val="Heading1"/>
        <w:spacing w:lineRule="auto" w:line="240" w:before="0" w:after="360"/>
        <w:jc w:val="center"/>
        <w:rPr/>
      </w:pPr>
      <w:bookmarkStart w:id="39" w:name="__RefHeading___Toc2074_910930204"/>
      <w:bookmarkEnd w:id="39"/>
      <w:r>
        <w:rPr>
          <w:rFonts w:eastAsia="Times New Roman" w:cs="Times New Roman" w:ascii="Times New Roman" w:hAnsi="Times New Roman"/>
          <w:b/>
          <w:bCs/>
          <w:i w:val="false"/>
          <w:iCs w:val="false"/>
          <w:sz w:val="28"/>
          <w:szCs w:val="28"/>
        </w:rPr>
        <w:t>REFERENCIAS BIBLIOGRÁFICAS</w:t>
      </w:r>
    </w:p>
    <w:p>
      <w:pPr>
        <w:pStyle w:val="normal1"/>
        <w:rPr/>
      </w:pPr>
      <w:r>
        <w:rPr/>
        <w:t>Accenture. (2023). Technology Vision 2023: When Atoms Meet Bits. Accenture Research. https://www.accenture.com/us-en/insights/technology/technology-trends-2023</w:t>
      </w:r>
    </w:p>
    <w:p>
      <w:pPr>
        <w:pStyle w:val="normal1"/>
        <w:rPr/>
      </w:pPr>
      <w:r>
        <w:rPr/>
        <w:t>Aghaei, S., Nematbakhsh, M. A., &amp; Farsani, H. K. (2012). Evolution of the World Wide Web: From Web 1.0 to Web 4.0. International Journal of Web &amp; Semantic Technology, 3(1), 1–10. https://doi.org/10.5121/ijwest.2012.3101</w:t>
      </w:r>
    </w:p>
    <w:p>
      <w:pPr>
        <w:pStyle w:val="normal1"/>
        <w:rPr/>
      </w:pPr>
      <w:r>
        <w:rPr/>
        <w:t>Amir, A. R., &amp; Atif, S. M. (2026). Evaluating workflow automation efficiency using n8n: A small-scale business case study. arXiv:2602.01311. https://doi.org/10.48550/arXiv.2602.01311</w:t>
      </w:r>
    </w:p>
    <w:p>
      <w:pPr>
        <w:pStyle w:val="normal1"/>
        <w:rPr/>
      </w:pPr>
      <w:r>
        <w:rPr/>
        <w:t>Ben Slimane, S., Coeurderoy, R., &amp; Mhenni, H. (2022). Digital transformation of small and medium enterprises: A systematic literature review and an integrative framework. International Studies of Management &amp; Organization, 52(2), 96–120. https://doi.org/10.1080/00208825.2022.2072067</w:t>
      </w:r>
    </w:p>
    <w:p>
      <w:pPr>
        <w:pStyle w:val="normal1"/>
        <w:rPr/>
      </w:pPr>
      <w:r>
        <w:rPr/>
        <w:t>Chaffey, D., &amp; Ellis-Chadwick, F. (2022). Digital Marketing: Strategy, Implementation and Practice (8th ed.). Pearson Education.</w:t>
      </w:r>
    </w:p>
    <w:p>
      <w:pPr>
        <w:pStyle w:val="normal1"/>
        <w:rPr/>
      </w:pPr>
      <w:r>
        <w:rPr/>
        <w:t>Cohn, M. (2010). Succeeding with Agile: Software Development Using Scrum. Addison-Wesley Professional.</w:t>
      </w:r>
    </w:p>
    <w:p>
      <w:pPr>
        <w:pStyle w:val="normal1"/>
        <w:rPr/>
      </w:pPr>
      <w:r>
        <w:rPr/>
        <w:t>Davenport, T. H., &amp; Ronanki, R. (2018). Artificial intelligence for the real world. Harvard Business Review, 96(1), 108–116.</w:t>
      </w:r>
    </w:p>
    <w:p>
      <w:pPr>
        <w:pStyle w:val="normal1"/>
        <w:rPr/>
      </w:pPr>
      <w:r>
        <w:rPr/>
        <w:t>Fitzgerald, M., Kruschwitz, N., Bonnet, D., &amp; Welch, M. (2014). Embracing digital technology: A new strategic imperative. MIT Sloan Management Review, 55(2), 1–12.</w:t>
      </w:r>
    </w:p>
    <w:p>
      <w:pPr>
        <w:pStyle w:val="normal1"/>
        <w:rPr/>
      </w:pPr>
      <w:r>
        <w:rPr/>
        <w:t>Frost, B. (2016). Atomic Design. Brad Frost Web. https://atomicdesign.bradfrost.com/</w:t>
      </w:r>
    </w:p>
    <w:p>
      <w:pPr>
        <w:pStyle w:val="normal1"/>
        <w:rPr/>
      </w:pPr>
      <w:r>
        <w:rPr/>
        <w:t>GitHub. (2024). GitHub Flow. GitHub Docs. https://docs.github.com/en/get-started/using-github/github-flow</w:t>
      </w:r>
    </w:p>
    <w:p>
      <w:pPr>
        <w:pStyle w:val="normal1"/>
        <w:rPr/>
      </w:pPr>
      <w:r>
        <w:rPr/>
        <w:t>Google Developers. (2024a). Core Web Vitals. https://web.dev/vitals/</w:t>
      </w:r>
    </w:p>
    <w:p>
      <w:pPr>
        <w:pStyle w:val="normal1"/>
        <w:rPr/>
      </w:pPr>
      <w:r>
        <w:rPr/>
        <w:t>Google Developers. (2024b). Lighthouse Scoring Calculator. https://googlechrome.github.io/lighthouse/scorecalc/</w:t>
      </w:r>
    </w:p>
    <w:p>
      <w:pPr>
        <w:pStyle w:val="normal1"/>
        <w:rPr/>
      </w:pPr>
      <w:r>
        <w:rPr/>
        <w:t>Hernández Sampieri, R., Fernández Collado, C., &amp; Baptista Lucio, P. (2014). Metodología de la investigación (6.ª ed.). McGraw-Hill.</w:t>
      </w:r>
    </w:p>
    <w:p>
      <w:pPr>
        <w:pStyle w:val="normal1"/>
        <w:rPr/>
      </w:pPr>
      <w:r>
        <w:rPr/>
        <w:t>Kannan, P. K., &amp; Li, H. A. (2017). Digital marketing: A framework, review and research agenda. International Journal of Research in Marketing, 34(1), 22–45. https://doi.org/10.1016/j.ijresmar.2016.11.006</w:t>
      </w:r>
    </w:p>
    <w:p>
      <w:pPr>
        <w:pStyle w:val="normal1"/>
        <w:rPr/>
      </w:pPr>
      <w:r>
        <w:rPr/>
        <w:t>Kotler, P., Kartajaya, H., &amp; Setiawan, I. (2021). Marketing 5.0: Technology for Humanity. John Wiley &amp; Sons.</w:t>
      </w:r>
    </w:p>
    <w:p>
      <w:pPr>
        <w:pStyle w:val="normal1"/>
        <w:rPr/>
      </w:pPr>
      <w:r>
        <w:rPr/>
        <w:t>Lahtinen, L., Mahlamäki, T., &amp; Myllärniemi, J. (2024). Digital transformation of B2B sales processes. In Proceedings of the 16th International Joint Conference on Knowledge Discovery, Knowledge Engineering and Knowledge Management (IC3K 2024), Volume 3: KMIS (pp. 265–272). SciTePress. https://doi.org/10.5220/0012980000003838</w:t>
      </w:r>
    </w:p>
    <w:p>
      <w:pPr>
        <w:pStyle w:val="normal1"/>
        <w:rPr/>
      </w:pPr>
      <w:r>
        <w:rPr/>
        <w:t>Ley N.º 25.326. (2000). Ley de Protección de los Datos Personales. Boletín Oficial de la República Argentina, 2 de noviembre de 2000.</w:t>
      </w:r>
    </w:p>
    <w:p>
      <w:pPr>
        <w:pStyle w:val="normal1"/>
        <w:rPr/>
      </w:pPr>
      <w:r>
        <w:rPr/>
        <w:t>Moreira, S., Mamede, H. S., &amp; Santos, A. (2024). Business process automation in SMEs: A systematic literature review. IEEE Access, 12, 75832–75864. https://doi.org/10.1109/ACCESS.2024.3406548</w:t>
      </w:r>
    </w:p>
    <w:p>
      <w:pPr>
        <w:pStyle w:val="normal1"/>
        <w:rPr/>
      </w:pPr>
      <w:r>
        <w:rPr/>
        <w:t>n8n GmbH. (2024). n8n Documentation: Workflow Automation Platform. https://docs.n8n.io/</w:t>
      </w:r>
    </w:p>
    <w:p>
      <w:pPr>
        <w:pStyle w:val="normal1"/>
        <w:rPr/>
      </w:pPr>
      <w:r>
        <w:rPr/>
        <w:t>Pozo-Benites, K. B., Guadalupe-Sánchez, K. W., Peñarreta-Barrera, E. E., &amp; Meza-Salvatierra, J. K. (2025). Transformación digital de las PYMES en América Latina: barreras, oportunidades y estrategias para la competitividad. Multidisciplinary Latin American Journal, 3(2), 236–255. https://doi.org/10.62131/MLAJ-V3-N2-015</w:t>
      </w:r>
    </w:p>
    <w:p>
      <w:pPr>
        <w:pStyle w:val="normal1"/>
        <w:rPr/>
      </w:pPr>
      <w:r>
        <w:rPr/>
        <w:t>Rahman, S. M., Carlson, J., Gudergan, S. P., Wetzels, M., &amp; Grewal, D. (2025). How do omnichannel customer experiences affect customer engagement? Theory and empirical validation. Journal of Business Research, 189, 115196. https://doi.org/10.1016/j.jbusres.2025.115196</w:t>
      </w:r>
    </w:p>
    <w:p>
      <w:pPr>
        <w:pStyle w:val="normal1"/>
        <w:rPr/>
      </w:pPr>
      <w:r>
        <w:rPr/>
        <w:t>React Team. (2024). React Documentation. https://react.dev/</w:t>
      </w:r>
    </w:p>
    <w:p>
      <w:pPr>
        <w:pStyle w:val="normal1"/>
        <w:rPr/>
      </w:pPr>
      <w:r>
        <w:rPr/>
        <w:t>Sagala, G. H., &amp; Őri, D. (2024). Toward SMEs digital transformation success: A systematic literature review. Information Systems and e-Business Management, 22(4), 1381–1414. https://doi.org/10.1007/s10257-024-00682-2</w:t>
      </w:r>
    </w:p>
    <w:p>
      <w:pPr>
        <w:pStyle w:val="normal1"/>
        <w:rPr/>
      </w:pPr>
      <w:r>
        <w:rPr/>
        <w:t>Sahay, A., Di Ruscio, D., Iovino, L., &amp; Pierantonio, A. (2023). Analyzing business process management capabilities of low-code development platforms. Software: Practice and Experience, 53(4), 1036–1060. https://doi.org/10.1002/spe.3177</w:t>
      </w:r>
    </w:p>
    <w:p>
      <w:pPr>
        <w:pStyle w:val="normal1"/>
        <w:rPr/>
      </w:pPr>
      <w:r>
        <w:rPr/>
        <w:t>Schwaber, K., &amp; Sutherland, J. (2020). The Scrum Guide: The Definitive Guide to Scrum — The Rules of the Game. Scrum.org. https://scrumguides.org/</w:t>
      </w:r>
    </w:p>
    <w:p>
      <w:pPr>
        <w:pStyle w:val="normal1"/>
        <w:rPr/>
      </w:pPr>
      <w:r>
        <w:rPr/>
        <w:t>Secretaría de la Pequeña y Mediana Empresa, Emprendedores y Economía del Conocimiento. (2024). Informe Estadísticas de PyMEs, Emprendedores y Economía del Conocimiento. Ministerio de Economía de la Nación. https://www.argentina.gob.ar/sites/default/files/informe_2023_nov_2024.pdf</w:t>
      </w:r>
    </w:p>
    <w:p>
      <w:pPr>
        <w:pStyle w:val="normal1"/>
        <w:rPr/>
      </w:pPr>
      <w:r>
        <w:rPr/>
        <w:t>Shi, Z., Dong, J., &amp; Gan, Y. (2025). Democratizing digital transformation: A multisector study of low-code adoption patterns, limitations, and emerging paradigms. Applied Sciences, 15(12), 6481. https://doi.org/10.3390/app15126481</w:t>
      </w:r>
    </w:p>
    <w:p>
      <w:pPr>
        <w:pStyle w:val="normal1"/>
        <w:rPr/>
      </w:pPr>
      <w:r>
        <w:rPr/>
        <w:t>StatCounter Global Stats. (2024a). Mobile vs Desktop vs Tablet Market Share Worldwide. https://gs.statcounter.com/platform-market-share/desktop-mobile-tablet/</w:t>
      </w:r>
    </w:p>
    <w:p>
      <w:pPr>
        <w:pStyle w:val="normal1"/>
        <w:rPr/>
      </w:pPr>
      <w:r>
        <w:rPr/>
        <w:t>StatCounter Global Stats. (2024b). Search Engine Market Share Worldwide. https://gs.statcounter.com/search-engine-market-share/</w:t>
      </w:r>
    </w:p>
    <w:p>
      <w:pPr>
        <w:pStyle w:val="normal1"/>
        <w:rPr/>
      </w:pPr>
      <w:r>
        <w:rPr/>
        <w:t>Tailwind Labs. (2024). Tailwind CSS Documentation (v4). https://tailwindcss.com/docs/</w:t>
      </w:r>
    </w:p>
    <w:p>
      <w:pPr>
        <w:pStyle w:val="normal1"/>
        <w:rPr/>
      </w:pPr>
      <w:r>
        <w:rPr/>
        <w:t>Venkiteela, P. (2025). n8n: An open-source workflow automation platform for enterprise integration and AI-driven orchestration. International Journal of Computer Applications, 187(63), 1–11. https://doi.org/10.5120/ijca2025926031</w:t>
      </w:r>
    </w:p>
    <w:p>
      <w:pPr>
        <w:pStyle w:val="normal1"/>
        <w:rPr/>
      </w:pPr>
      <w:r>
        <w:rPr/>
        <w:t>Verhoef, P. C., Broekhuizen, T., Bart, Y., Bhattacharya, A., Dong, J. Q., Fabian, N., &amp; Haenlein, M. (2021). Digital transformation: A multidisciplinary reflection and research agenda. Journal of Business Research, 122, 889–901. https://doi.org/10.1016/j.jbusres.2019.09.022</w:t>
      </w:r>
    </w:p>
    <w:p>
      <w:pPr>
        <w:pStyle w:val="normal1"/>
        <w:rPr/>
      </w:pPr>
      <w:r>
        <w:rPr/>
        <w:t>Vite. (s.f.). Vite Documentation. https://vitejs.dev/guide/ (consultado en 2026).</w:t>
      </w:r>
    </w:p>
    <w:p>
      <w:pPr>
        <w:pStyle w:val="normal1"/>
        <w:rPr/>
      </w:pPr>
      <w:r>
        <w:rPr/>
        <w:t>Yin, R. K. (2018). Case Study Research and Applications: Design and Methods (6th ed.). SAGE Publications.</w:t>
      </w:r>
    </w:p>
    <w:p>
      <w:pPr>
        <w:pStyle w:val="normal1"/>
        <w:spacing w:lineRule="auto" w:line="240" w:before="0" w:after="0"/>
        <w:rPr/>
      </w:pPr>
      <w:r>
        <w:rPr/>
      </w:r>
      <w:r>
        <w:br w:type="page"/>
      </w:r>
    </w:p>
    <w:p>
      <w:pPr>
        <w:pStyle w:val="Heading1"/>
        <w:spacing w:lineRule="auto" w:line="240" w:before="0" w:after="360"/>
        <w:jc w:val="center"/>
        <w:rPr/>
      </w:pPr>
      <w:bookmarkStart w:id="40" w:name="__RefHeading___Toc2076_910930204"/>
      <w:bookmarkEnd w:id="40"/>
      <w:r>
        <w:rPr>
          <w:rFonts w:eastAsia="Times New Roman" w:cs="Times New Roman" w:ascii="Times New Roman" w:hAnsi="Times New Roman"/>
          <w:b/>
          <w:bCs/>
          <w:i w:val="false"/>
          <w:iCs w:val="false"/>
          <w:sz w:val="28"/>
          <w:szCs w:val="28"/>
        </w:rPr>
        <w:t>GLOSARIO DE TÉRMINOS</w:t>
      </w:r>
    </w:p>
    <w:p>
      <w:pPr>
        <w:pStyle w:val="normal1"/>
        <w:spacing w:lineRule="auto" w:line="420" w:before="0" w:after="0"/>
        <w:ind w:firstLine="709"/>
        <w:jc w:val="both"/>
        <w:rPr/>
      </w:pPr>
      <w:r>
        <w:rPr>
          <w:rFonts w:eastAsia="Times New Roman" w:cs="Times New Roman"/>
          <w:b w:val="false"/>
          <w:bCs w:val="false"/>
          <w:i w:val="false"/>
          <w:iCs w:val="false"/>
          <w:sz w:val="24"/>
          <w:szCs w:val="24"/>
        </w:rPr>
        <w:t>BPA (Business Process Automation): Automatización de Procesos de Negocio. Campo interdisciplinario que combina tecnología de la información e ingeniería de procesos para automatizar tareas repetitivas y bien definidas dentro de una organización.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BPM (Business Process Management): Gestión de Procesos de Negocio. Disciplina de mayor amplitud que la BPA, orientada al modelado, análisis y mejora continua de los procesos organizacionales.</w:t>
      </w:r>
    </w:p>
    <w:p>
      <w:pPr>
        <w:pStyle w:val="normal1"/>
        <w:spacing w:lineRule="auto" w:line="420" w:before="0" w:after="0"/>
        <w:ind w:firstLine="709"/>
        <w:jc w:val="both"/>
        <w:rPr/>
      </w:pPr>
      <w:r>
        <w:rPr>
          <w:rFonts w:eastAsia="Times New Roman" w:cs="Times New Roman"/>
          <w:b w:val="false"/>
          <w:bCs w:val="false"/>
          <w:i w:val="false"/>
          <w:iCs w:val="false"/>
          <w:sz w:val="24"/>
          <w:szCs w:val="24"/>
        </w:rPr>
        <w:t>CLV / LTV (Customer Lifetime Value): Valor del ciclo de vida del cliente. Métrica que cuantifica el valor económico total que un cliente aporta a la empresa a lo largo de su relación comercial.</w:t>
      </w:r>
    </w:p>
    <w:p>
      <w:pPr>
        <w:pStyle w:val="normal1"/>
        <w:spacing w:lineRule="auto" w:line="420" w:before="0" w:after="0"/>
        <w:ind w:firstLine="709"/>
        <w:jc w:val="both"/>
        <w:rPr/>
      </w:pPr>
      <w:r>
        <w:rPr>
          <w:rFonts w:eastAsia="Times New Roman" w:cs="Times New Roman"/>
          <w:b w:val="false"/>
          <w:bCs w:val="false"/>
          <w:i w:val="false"/>
          <w:iCs w:val="false"/>
          <w:sz w:val="24"/>
          <w:szCs w:val="24"/>
        </w:rPr>
        <w:t>CLS (Cumulative Layout Shift): Desplazamiento acumulativo de diseño. Una de las métricas Core Web Vitals de Google; cuantifica la estabilidad visual de una página web durante su carga. Un CLS inferior a 0,1 se clasifica como "Bueno".</w:t>
      </w:r>
    </w:p>
    <w:p>
      <w:pPr>
        <w:pStyle w:val="normal1"/>
        <w:rPr/>
      </w:pPr>
      <w:r>
        <w:rPr/>
        <w:t>Core Web Vitals: Conjunto de señales de Google que miden la calidad de la experiencia de usuario desde la perspectiva del rendimiento técnico de un sitio web. Comprende tres métricas principales: LCP, INP y CLS (ver entradas individuales).</w:t>
      </w:r>
    </w:p>
    <w:p>
      <w:pPr>
        <w:pStyle w:val="normal1"/>
        <w:spacing w:lineRule="auto" w:line="420" w:before="0" w:after="0"/>
        <w:ind w:firstLine="709"/>
        <w:jc w:val="both"/>
        <w:rPr/>
      </w:pPr>
      <w:r>
        <w:rPr>
          <w:rFonts w:eastAsia="Times New Roman" w:cs="Times New Roman"/>
          <w:b w:val="false"/>
          <w:bCs w:val="false"/>
          <w:i w:val="false"/>
          <w:iCs w:val="false"/>
          <w:sz w:val="24"/>
          <w:szCs w:val="24"/>
        </w:rPr>
        <w:t>CRM (Customer Relationship Management): Sistema de gestión de la relación con el cliente. Software que centraliza y organiza la información de los clientes y las interacciones comerciales.</w:t>
      </w:r>
    </w:p>
    <w:p>
      <w:pPr>
        <w:pStyle w:val="normal1"/>
        <w:spacing w:lineRule="auto" w:line="420" w:before="0" w:after="0"/>
        <w:ind w:firstLine="709"/>
        <w:jc w:val="both"/>
        <w:rPr/>
      </w:pPr>
      <w:r>
        <w:rPr>
          <w:rFonts w:eastAsia="Times New Roman" w:cs="Times New Roman"/>
          <w:b w:val="false"/>
          <w:bCs w:val="false"/>
          <w:i w:val="false"/>
          <w:iCs w:val="false"/>
          <w:sz w:val="24"/>
          <w:szCs w:val="24"/>
        </w:rPr>
        <w:t>Docker Compose: Herramienta para definir y ejecutar aplicaciones Docker de múltiples contenedores mediante un archivo de configuración YAML.</w:t>
      </w:r>
    </w:p>
    <w:p>
      <w:pPr>
        <w:pStyle w:val="normal1"/>
        <w:rPr/>
      </w:pPr>
      <w:r>
        <w:rPr/>
        <w:t>HMR (Hot Module Replacement): Reemplazo de módulos en caliente. Mecanismo del servidor de desarrollo de Vite que actualiza los módulos de código modificados directamente en el navegador sin recargar la página completa, preservando el estado de la aplicación.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INP (Interaction to Next Paint): Interacción hasta la próxima representación visual. Métrica Core Web Vitals de Google que evalúa la capacidad de respuesta de un sitio web a las interacciones del usuario. Un INP inferior a 200 ms se clasifica como "Bueno".</w:t>
      </w:r>
    </w:p>
    <w:p>
      <w:pPr>
        <w:pStyle w:val="normal1"/>
        <w:rPr/>
      </w:pPr>
      <w:r>
        <w:rPr/>
        <w:t>JSONB: Tipo de dato de PostgreSQL que almacena documentos JSON en un formato binario indexable, permitiendo combinar la flexibilidad de un esquema semiestructurado con las garantías transaccionales de una base de datos relacional.</w:t>
      </w:r>
    </w:p>
    <w:p>
      <w:pPr>
        <w:pStyle w:val="normal1"/>
        <w:spacing w:lineRule="auto" w:line="420" w:before="0" w:after="0"/>
        <w:ind w:firstLine="709"/>
        <w:jc w:val="both"/>
        <w:rPr/>
      </w:pPr>
      <w:r>
        <w:rPr>
          <w:rFonts w:eastAsia="Times New Roman" w:cs="Times New Roman"/>
          <w:b w:val="false"/>
          <w:bCs w:val="false"/>
          <w:i w:val="false"/>
          <w:iCs w:val="false"/>
          <w:sz w:val="24"/>
          <w:szCs w:val="24"/>
        </w:rPr>
        <w:t>LCP (Largest Contentful Paint): Representación del elemento de contenido más grande. Métrica Core Web Vitals de Google que mide el tiempo hasta que el elemento de contenido principal de la página se vuelve visible. Un LCP inferior a 2,5 segundos se clasifica como "Bueno".</w:t>
      </w:r>
    </w:p>
    <w:p>
      <w:pPr>
        <w:pStyle w:val="normal1"/>
        <w:spacing w:lineRule="auto" w:line="420" w:before="0" w:after="0"/>
        <w:ind w:firstLine="709"/>
        <w:jc w:val="both"/>
        <w:rPr/>
      </w:pPr>
      <w:r>
        <w:rPr>
          <w:rFonts w:eastAsia="Times New Roman" w:cs="Times New Roman"/>
          <w:b w:val="false"/>
          <w:bCs w:val="false"/>
          <w:i w:val="false"/>
          <w:iCs w:val="false"/>
          <w:sz w:val="24"/>
          <w:szCs w:val="24"/>
        </w:rPr>
        <w:t>Lead: Prospecto o cliente potencial que ha mostrado interés en los productos o servicios de una empresa y ha proporcionado sus datos de contacto.</w:t>
      </w:r>
    </w:p>
    <w:p>
      <w:pPr>
        <w:pStyle w:val="normal1"/>
        <w:spacing w:lineRule="auto" w:line="420" w:before="0" w:after="0"/>
        <w:ind w:firstLine="709"/>
        <w:jc w:val="both"/>
        <w:rPr/>
      </w:pPr>
      <w:r>
        <w:rPr>
          <w:rFonts w:eastAsia="Times New Roman" w:cs="Times New Roman"/>
          <w:b w:val="false"/>
          <w:bCs w:val="false"/>
          <w:i w:val="false"/>
          <w:iCs w:val="false"/>
          <w:sz w:val="24"/>
          <w:szCs w:val="24"/>
        </w:rPr>
        <w:t>Lead Nurturing: Proceso de cultivo del lead. Estrategia sistemática de acompañamiento del prospecto desde el primer contacto con la marca hasta la concreción de la venta.</w:t>
      </w:r>
    </w:p>
    <w:p>
      <w:pPr>
        <w:pStyle w:val="normal1"/>
        <w:spacing w:lineRule="auto" w:line="420" w:before="0" w:after="0"/>
        <w:ind w:firstLine="709"/>
        <w:jc w:val="both"/>
        <w:rPr/>
      </w:pPr>
      <w:r>
        <w:rPr>
          <w:rFonts w:eastAsia="Times New Roman" w:cs="Times New Roman"/>
          <w:b w:val="false"/>
          <w:bCs w:val="false"/>
          <w:i w:val="false"/>
          <w:iCs w:val="false"/>
          <w:sz w:val="24"/>
          <w:szCs w:val="24"/>
        </w:rPr>
        <w:t>Low-Code: Paradigma de desarrollo de software que minimiza la necesidad de codificación manual mediante interfaces visuales de programación, permitiendo a usuarios sin formación técnica avanzada construir y modificar flujos de trabajo automatizados.</w:t>
      </w:r>
    </w:p>
    <w:p>
      <w:pPr>
        <w:pStyle w:val="normal1"/>
        <w:spacing w:lineRule="auto" w:line="420" w:before="0" w:after="0"/>
        <w:ind w:firstLine="709"/>
        <w:jc w:val="both"/>
        <w:rPr/>
      </w:pPr>
      <w:r>
        <w:rPr>
          <w:rFonts w:eastAsia="Times New Roman" w:cs="Times New Roman"/>
          <w:b w:val="false"/>
          <w:bCs w:val="false"/>
          <w:i w:val="false"/>
          <w:iCs w:val="false"/>
          <w:sz w:val="24"/>
          <w:szCs w:val="24"/>
        </w:rPr>
        <w:t>Mobile-First: Estrategia de diseño web en la que se diseña primero la versión para dispositivos móviles y luego se escala progresivamente para pantallas de mayor tamaño.</w:t>
      </w:r>
    </w:p>
    <w:p>
      <w:pPr>
        <w:pStyle w:val="normal1"/>
        <w:spacing w:lineRule="auto" w:line="420" w:before="0" w:after="0"/>
        <w:ind w:firstLine="709"/>
        <w:jc w:val="both"/>
        <w:rPr/>
      </w:pPr>
      <w:r>
        <w:rPr>
          <w:rFonts w:eastAsia="Times New Roman" w:cs="Times New Roman"/>
          <w:b w:val="false"/>
          <w:bCs w:val="false"/>
          <w:i w:val="false"/>
          <w:iCs w:val="false"/>
          <w:sz w:val="24"/>
          <w:szCs w:val="24"/>
        </w:rPr>
        <w:t>n8n: Plataforma de automatización de flujos de trabajo de bajo código y código abierto, autoalojable, que permite integrar múltiples aplicaciones y APIs mediante una interfaz visual de nodos.</w:t>
      </w:r>
    </w:p>
    <w:p>
      <w:pPr>
        <w:pStyle w:val="normal1"/>
        <w:spacing w:lineRule="auto" w:line="420" w:before="0" w:after="0"/>
        <w:ind w:firstLine="709"/>
        <w:jc w:val="both"/>
        <w:rPr/>
      </w:pPr>
      <w:r>
        <w:rPr>
          <w:rFonts w:eastAsia="Times New Roman" w:cs="Times New Roman"/>
          <w:b w:val="false"/>
          <w:bCs w:val="false"/>
          <w:i w:val="false"/>
          <w:iCs w:val="false"/>
          <w:sz w:val="24"/>
          <w:szCs w:val="24"/>
        </w:rPr>
        <w:t>Nginx: Servidor web y proxy inverso de alto rendimiento, ampliamente utilizado para gestionar el enrutamiento de tráfico HTTP y la terminación de SSL/TLS.</w:t>
      </w:r>
    </w:p>
    <w:p>
      <w:pPr>
        <w:pStyle w:val="normal1"/>
        <w:spacing w:lineRule="auto" w:line="420" w:before="0" w:after="0"/>
        <w:ind w:firstLine="709"/>
        <w:jc w:val="both"/>
        <w:rPr/>
      </w:pPr>
      <w:r>
        <w:rPr>
          <w:rFonts w:eastAsia="Times New Roman" w:cs="Times New Roman"/>
          <w:b w:val="false"/>
          <w:bCs w:val="false"/>
          <w:i w:val="false"/>
          <w:iCs w:val="false"/>
          <w:sz w:val="24"/>
          <w:szCs w:val="24"/>
        </w:rPr>
        <w:t>Omnicanalidad: Estrategia de gestión de la presencia y la comunicación de una marca a través de múltiples canales de manera simultánea, coherente e integrada.</w:t>
      </w:r>
    </w:p>
    <w:p>
      <w:pPr>
        <w:pStyle w:val="normal1"/>
        <w:spacing w:lineRule="auto" w:line="420" w:before="0" w:after="0"/>
        <w:ind w:firstLine="709"/>
        <w:jc w:val="both"/>
        <w:rPr/>
      </w:pPr>
      <w:r>
        <w:rPr>
          <w:rFonts w:eastAsia="Times New Roman" w:cs="Times New Roman"/>
          <w:b w:val="false"/>
          <w:bCs w:val="false"/>
          <w:i w:val="false"/>
          <w:iCs w:val="false"/>
          <w:sz w:val="24"/>
          <w:szCs w:val="24"/>
        </w:rPr>
        <w:t>PostgreSQL: Sistema de gestión de bases de datos relacional de código abierto, con soporte para el estándar SQL y extensiones avanzadas como el tipo de dato JSONB.</w:t>
      </w:r>
    </w:p>
    <w:p>
      <w:pPr>
        <w:pStyle w:val="normal1"/>
        <w:spacing w:lineRule="auto" w:line="420" w:before="0" w:after="0"/>
        <w:ind w:firstLine="709"/>
        <w:jc w:val="both"/>
        <w:rPr/>
      </w:pPr>
      <w:r>
        <w:rPr>
          <w:rFonts w:eastAsia="Times New Roman" w:cs="Times New Roman"/>
          <w:b w:val="false"/>
          <w:bCs w:val="false"/>
          <w:i w:val="false"/>
          <w:iCs w:val="false"/>
          <w:sz w:val="24"/>
          <w:szCs w:val="24"/>
        </w:rPr>
        <w:t>PyME: Pequeña y mediana empresa. En Argentina, las empresas se clasifican como micro, pequeñas o medianas según criterios de personal ocupado y facturación definidos por la Secretaría de la Pequeña y Mediana Empresa.</w:t>
      </w:r>
    </w:p>
    <w:p>
      <w:pPr>
        <w:pStyle w:val="normal1"/>
        <w:spacing w:lineRule="auto" w:line="420" w:before="0" w:after="0"/>
        <w:ind w:firstLine="709"/>
        <w:jc w:val="both"/>
        <w:rPr/>
      </w:pPr>
      <w:r>
        <w:rPr>
          <w:rFonts w:eastAsia="Times New Roman" w:cs="Times New Roman"/>
          <w:b w:val="false"/>
          <w:bCs w:val="false"/>
          <w:i w:val="false"/>
          <w:iCs w:val="false"/>
          <w:sz w:val="24"/>
          <w:szCs w:val="24"/>
        </w:rPr>
        <w:t>RPA (Robotic Process Automation): Automatización Robótica de Procesos. Tecnología que permite crear robots de software que emulan las interacciones de un usuario con interfaces digitales para automatizar tareas repetitivas.</w:t>
      </w:r>
    </w:p>
    <w:p>
      <w:pPr>
        <w:pStyle w:val="normal1"/>
        <w:spacing w:lineRule="auto" w:line="420" w:before="0" w:after="0"/>
        <w:ind w:firstLine="709"/>
        <w:jc w:val="both"/>
        <w:rPr/>
      </w:pPr>
      <w:r>
        <w:rPr>
          <w:rFonts w:eastAsia="Times New Roman" w:cs="Times New Roman"/>
          <w:b w:val="false"/>
          <w:bCs w:val="false"/>
          <w:i w:val="false"/>
          <w:iCs w:val="false"/>
          <w:sz w:val="24"/>
          <w:szCs w:val="24"/>
        </w:rPr>
        <w:t>SEO (Search Engine Optimization): Optimización para motores de búsqueda. Conjunto de técnicas orientadas a mejorar la visibilidad orgánica de un sitio web en los resultados de los motores de búsqueda.</w:t>
      </w:r>
    </w:p>
    <w:p>
      <w:pPr>
        <w:pStyle w:val="normal1"/>
        <w:spacing w:lineRule="auto" w:line="420" w:before="0" w:after="0"/>
        <w:ind w:firstLine="709"/>
        <w:jc w:val="both"/>
        <w:rPr/>
      </w:pPr>
      <w:r>
        <w:rPr>
          <w:rFonts w:eastAsia="Times New Roman" w:cs="Times New Roman"/>
          <w:b w:val="false"/>
          <w:bCs w:val="false"/>
          <w:i w:val="false"/>
          <w:iCs w:val="false"/>
          <w:sz w:val="24"/>
          <w:szCs w:val="24"/>
        </w:rPr>
        <w:t>SPA (Single Page Application): Aplicación de página única. Arquitectura de aplicación web en la que toda la experiencia de usuario se gestiona en una única página HTML, actualizando el contenido dinámicamente mediante JavaScript sin recargar la página completa.</w:t>
      </w:r>
    </w:p>
    <w:p>
      <w:pPr>
        <w:pStyle w:val="normal1"/>
        <w:rPr/>
      </w:pPr>
      <w:r>
        <w:rPr/>
        <w:t>Sprint: Ciclo de trabajo de duración fija (en este proyecto, de aproximadamente dos semanas) del marco Scrum, al final del cual el equipo entrega un incremento funcional del producto.</w:t>
      </w:r>
    </w:p>
    <w:p>
      <w:pPr>
        <w:pStyle w:val="normal1"/>
        <w:spacing w:lineRule="auto" w:line="420" w:before="0" w:after="0"/>
        <w:ind w:firstLine="709"/>
        <w:jc w:val="both"/>
        <w:rPr/>
      </w:pPr>
      <w:r>
        <w:rPr>
          <w:rFonts w:eastAsia="Times New Roman" w:cs="Times New Roman"/>
          <w:b w:val="false"/>
          <w:bCs w:val="false"/>
          <w:i w:val="false"/>
          <w:iCs w:val="false"/>
          <w:sz w:val="24"/>
          <w:szCs w:val="24"/>
        </w:rPr>
        <w:t>SSG (Static Site Generation): Generación estática de sitios. Proceso de pre-renderizado de páginas HTML en tiempo de compilación, que resulta en tiempos de carga muy rápidos y alto rendimiento SEO.</w:t>
      </w:r>
    </w:p>
    <w:p>
      <w:pPr>
        <w:pStyle w:val="normal1"/>
        <w:spacing w:lineRule="auto" w:line="420" w:before="0" w:after="0"/>
        <w:ind w:firstLine="709"/>
        <w:jc w:val="both"/>
        <w:rPr/>
      </w:pPr>
      <w:r>
        <w:rPr>
          <w:rFonts w:eastAsia="Times New Roman" w:cs="Times New Roman"/>
          <w:b w:val="false"/>
          <w:bCs w:val="false"/>
          <w:i w:val="false"/>
          <w:iCs w:val="false"/>
          <w:sz w:val="24"/>
          <w:szCs w:val="24"/>
        </w:rPr>
        <w:t>SSR (Server-Side Rendering): Renderizado en el servidor. Proceso de generación del HTML de una página en el servidor en respuesta a cada solicitud del usuario, en contraposición al renderizado en el cliente (CSR).</w:t>
      </w:r>
    </w:p>
    <w:p>
      <w:pPr>
        <w:pStyle w:val="normal1"/>
        <w:rPr/>
      </w:pPr>
      <w:r>
        <w:rPr/>
        <w:t>Staging: Entorno de despliegue intermedio que replica las condiciones de producción pero se utiliza para validación y pruebas antes del despliegue definitivo, sin exponer el sistema a usuarios finales reales.</w:t>
      </w:r>
    </w:p>
    <w:p>
      <w:pPr>
        <w:pStyle w:val="normal1"/>
        <w:spacing w:lineRule="auto" w:line="420" w:before="0" w:after="0"/>
        <w:ind w:firstLine="709"/>
        <w:jc w:val="both"/>
        <w:rPr/>
      </w:pPr>
      <w:r>
        <w:rPr>
          <w:rFonts w:eastAsia="Times New Roman" w:cs="Times New Roman"/>
          <w:b w:val="false"/>
          <w:bCs w:val="false"/>
          <w:i w:val="false"/>
          <w:iCs w:val="false"/>
          <w:sz w:val="24"/>
          <w:szCs w:val="24"/>
        </w:rPr>
        <w:t>Tailwind CSS: Framework CSS de código abierto basado en clases utilitarias, que permite construir diseños responsivos directamente en el marcado HTML sin escribir CSS personalizado.</w:t>
      </w:r>
    </w:p>
    <w:p>
      <w:pPr>
        <w:pStyle w:val="normal1"/>
        <w:spacing w:lineRule="auto" w:line="420" w:before="0" w:after="0"/>
        <w:ind w:firstLine="709"/>
        <w:jc w:val="both"/>
        <w:rPr/>
      </w:pPr>
      <w:r>
        <w:rPr>
          <w:rFonts w:eastAsia="Times New Roman" w:cs="Times New Roman"/>
          <w:b w:val="false"/>
          <w:bCs w:val="false"/>
          <w:i w:val="false"/>
          <w:iCs w:val="false"/>
          <w:sz w:val="24"/>
          <w:szCs w:val="24"/>
        </w:rPr>
        <w:t>Vite: Herramienta de frontend de nueva generación que sirve como bundler y servidor de desarrollo para aplicaciones React. Ofrece arranque instantáneo, Hot Module Replacement (HMR) y generación de bundles estáticos optimizados mediante Rollup.</w:t>
      </w:r>
    </w:p>
    <w:p>
      <w:pPr>
        <w:pStyle w:val="normal1"/>
        <w:spacing w:lineRule="auto" w:line="420" w:before="0" w:after="0"/>
        <w:ind w:firstLine="709"/>
        <w:jc w:val="both"/>
        <w:rPr/>
      </w:pPr>
      <w:r>
        <w:rPr>
          <w:rFonts w:eastAsia="Times New Roman" w:cs="Times New Roman"/>
          <w:b w:val="false"/>
          <w:bCs w:val="false"/>
          <w:i w:val="false"/>
          <w:iCs w:val="false"/>
          <w:sz w:val="24"/>
          <w:szCs w:val="24"/>
        </w:rPr>
        <w:t>Webhook: Mecanismo de comunicación entre aplicaciones que permite a un servicio notificar a otro de manera automática mediante una solicitud HTTP cuando ocurre un evento determinado.</w:t>
      </w:r>
    </w:p>
    <w:p>
      <w:pPr>
        <w:pStyle w:val="normal1"/>
        <w:spacing w:lineRule="auto" w:line="420" w:before="0" w:after="0"/>
        <w:ind w:firstLine="709"/>
        <w:jc w:val="both"/>
        <w:rPr/>
      </w:pPr>
      <w:r>
        <w:rPr>
          <w:rFonts w:eastAsia="Times New Roman" w:cs="Times New Roman"/>
          <w:b w:val="false"/>
          <w:bCs w:val="false"/>
          <w:i w:val="false"/>
          <w:iCs w:val="false"/>
          <w:sz w:val="24"/>
          <w:szCs w:val="24"/>
        </w:rPr>
        <w:t>Zod: Biblioteca de validación de esquemas para TypeScript utilizada en este proyecto tanto en el cliente (formulario de cotización, mediante react-hook-form) como en el backend Express. En el backend constituye la validación con autoridad de todos los payloads entrantes de la API, para verificar la estructura y el tipo de los datos antes de procesarlos.</w:t>
      </w:r>
    </w:p>
    <w:p>
      <w:pPr>
        <w:pStyle w:val="normal1"/>
        <w:spacing w:lineRule="auto" w:line="240" w:before="0" w:after="0"/>
        <w:rPr/>
      </w:pPr>
      <w:r>
        <w:rPr/>
      </w:r>
      <w:r>
        <w:br w:type="page"/>
      </w:r>
    </w:p>
    <w:p>
      <w:pPr>
        <w:pStyle w:val="Heading1"/>
        <w:spacing w:lineRule="auto" w:line="240" w:before="0" w:after="360"/>
        <w:jc w:val="center"/>
        <w:rPr/>
      </w:pPr>
      <w:bookmarkStart w:id="41" w:name="__RefHeading___Toc2078_910930204"/>
      <w:bookmarkEnd w:id="41"/>
      <w:r>
        <w:rPr>
          <w:rFonts w:eastAsia="Times New Roman" w:cs="Times New Roman" w:ascii="Times New Roman" w:hAnsi="Times New Roman"/>
          <w:b/>
          <w:bCs/>
          <w:i w:val="false"/>
          <w:iCs w:val="false"/>
          <w:sz w:val="28"/>
          <w:szCs w:val="28"/>
        </w:rPr>
        <w:t>ANEXOS</w:t>
      </w:r>
    </w:p>
    <w:p>
      <w:pPr>
        <w:pStyle w:val="normal1"/>
        <w:spacing w:lineRule="auto" w:line="420" w:before="0" w:after="0"/>
        <w:ind w:firstLine="709"/>
        <w:jc w:val="both"/>
        <w:rPr/>
      </w:pPr>
      <w:r>
        <w:rPr>
          <w:rFonts w:eastAsia="Times New Roman" w:cs="Times New Roman"/>
          <w:b w:val="false"/>
          <w:bCs w:val="false"/>
          <w:i w:val="false"/>
          <w:iCs w:val="false"/>
          <w:sz w:val="24"/>
          <w:szCs w:val="24"/>
        </w:rPr>
        <w:t>ANEXO A — Informe completo de auditoría Google Lighthouse del sitio preexistente</w:t>
      </w:r>
    </w:p>
    <w:p>
      <w:pPr>
        <w:pStyle w:val="normal1"/>
        <w:spacing w:lineRule="auto" w:line="420" w:before="0" w:after="0"/>
        <w:ind w:firstLine="709"/>
        <w:jc w:val="both"/>
        <w:rPr/>
      </w:pPr>
      <w:r>
        <w:rPr>
          <w:rFonts w:eastAsia="Times New Roman" w:cs="Times New Roman"/>
          <w:b w:val="false"/>
          <w:bCs w:val="false"/>
          <w:i w:val="false"/>
          <w:iCs w:val="false"/>
          <w:sz w:val="24"/>
          <w:szCs w:val="24"/>
        </w:rPr>
        <w:t>Contiene las capturas de pantalla completas de los reportes de Google Lighthouse v12.8.2 del sitio web preexistente de Golden Harvest S.A. en las configuraciones de dispositivo móvil simulado y escritorio, incluyendo el desglose de métricas por categoría y las oportunidades de mejora identificadas.</w:t>
      </w:r>
    </w:p>
    <w:p>
      <w:pPr>
        <w:pStyle w:val="normal1"/>
        <w:rPr/>
      </w:pPr>
      <w:r>
        <w:rPr/>
        <w:t>Datos reales medidos el 2026-08-06: 1 corrida contra el sitio en producción (https://www.goldenharvest.com.ar/silvia) y 5 corridas contra un build de producción del catálogo nuevo (vite preview), con mediana reportada. Metodología completa, incluyendo por qué 5 corridas y no 1, en docs/research/lighthouse/README.md del repositorio. Los mismos valores se resumen en la Tabla 6 (§5.1.1).</w:t>
      </w:r>
    </w:p>
    <w:p>
      <w:pPr>
        <w:pStyle w:val="normal1"/>
        <w:jc w:val="center"/>
        <w:rPr/>
      </w:pPr>
      <w:r>
        <w:rPr/>
        <w:drawing>
          <wp:inline distT="0" distB="0" distL="0" distR="0">
            <wp:extent cx="5943600" cy="2773680"/>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pic:cNvPicPr>
                      <a:picLocks noChangeAspect="1" noChangeArrowheads="1"/>
                    </pic:cNvPicPr>
                  </pic:nvPicPr>
                  <pic:blipFill>
                    <a:blip r:embed="rId12"/>
                    <a:stretch>
                      <a:fillRect/>
                    </a:stretch>
                  </pic:blipFill>
                  <pic:spPr bwMode="auto">
                    <a:xfrm>
                      <a:off x="0" y="0"/>
                      <a:ext cx="5943600" cy="2773680"/>
                    </a:xfrm>
                    <a:prstGeom prst="rect">
                      <a:avLst/>
                    </a:prstGeom>
                    <a:noFill/>
                  </pic:spPr>
                </pic:pic>
              </a:graphicData>
            </a:graphic>
          </wp:inline>
        </w:drawing>
      </w:r>
    </w:p>
    <w:p>
      <w:pPr>
        <w:pStyle w:val="normal1"/>
        <w:jc w:val="center"/>
        <w:rPr/>
      </w:pPr>
      <w:r>
        <w:rPr>
          <w:i/>
        </w:rPr>
        <w:t>Comparación de medianas Lighthouse — sitio original vs. catálogo nuevo, por dispositivo.</w:t>
      </w:r>
    </w:p>
    <w:p>
      <w:pPr>
        <w:pStyle w:val="normal1"/>
        <w:jc w:val="center"/>
        <w:rPr/>
      </w:pPr>
      <w:r>
        <w:rPr/>
        <w:drawing>
          <wp:inline distT="0" distB="0" distL="0" distR="0">
            <wp:extent cx="5943600" cy="2773680"/>
            <wp:effectExtent l="0" t="0" r="0" b="0"/>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pic:cNvPicPr>
                      <a:picLocks noChangeAspect="1" noChangeArrowheads="1"/>
                    </pic:cNvPicPr>
                  </pic:nvPicPr>
                  <pic:blipFill>
                    <a:blip r:embed="rId13"/>
                    <a:stretch>
                      <a:fillRect/>
                    </a:stretch>
                  </pic:blipFill>
                  <pic:spPr bwMode="auto">
                    <a:xfrm>
                      <a:off x="0" y="0"/>
                      <a:ext cx="5943600" cy="2773680"/>
                    </a:xfrm>
                    <a:prstGeom prst="rect">
                      <a:avLst/>
                    </a:prstGeom>
                    <a:noFill/>
                  </pic:spPr>
                </pic:pic>
              </a:graphicData>
            </a:graphic>
          </wp:inline>
        </w:drawing>
      </w:r>
    </w:p>
    <w:p>
      <w:pPr>
        <w:pStyle w:val="normal1"/>
        <w:jc w:val="center"/>
        <w:rPr/>
      </w:pPr>
      <w:r>
        <w:rPr>
          <w:i/>
        </w:rPr>
        <w:t>Dispersión de las 5 corridas del catálogo nuevo por dispositivo (ilustra la variabilidad de Performance entre corridas, motivo por el cual se reporta la mediana y no un valor único).</w:t>
      </w:r>
    </w:p>
    <w:p>
      <w:pPr>
        <w:pStyle w:val="normal1"/>
        <w:spacing w:lineRule="auto" w:line="420" w:before="0" w:after="0"/>
        <w:ind w:firstLine="709"/>
        <w:jc w:val="both"/>
        <w:rPr/>
      </w:pPr>
      <w:r>
        <w:rPr>
          <w:rFonts w:eastAsia="Times New Roman" w:cs="Times New Roman"/>
          <w:b w:val="false"/>
          <w:bCs w:val="false"/>
          <w:i w:val="false"/>
          <w:iCs w:val="false"/>
          <w:sz w:val="24"/>
          <w:szCs w:val="24"/>
        </w:rPr>
        <w:t>ANEXO C — Archivo docker-compose.yml del ecosistema de producción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Contiene el archivo de configuración Docker Compose completo que define los tres servicios reales del ecosistema (backend, PostgreSQL y n8n), incluyendo la configuración de volúmenes persistentes, redes internas y variables de entorno referenciadas (sin valores de credenciales).</w:t>
      </w:r>
    </w:p>
    <w:p>
      <w:pPr>
        <w:pStyle w:val="normal1"/>
        <w:rPr/>
      </w:pPr>
      <w:r>
        <w:rPr/>
        <w:t>Extracto del archivo real docker-compose.yml del repositorio (valores por defecto no sensibles; las variables entre ${...} se completan en tiempo de despliegue vía un archivo .env externo, nunca versionado — ver Anexo H):</w:t>
      </w:r>
    </w:p>
    <w:p>
      <w:pPr>
        <w:pStyle w:val="normal1"/>
        <w:rPr/>
      </w:pPr>
      <w:r>
        <w:rPr/>
        <w:t>services:</w:t>
      </w:r>
    </w:p>
    <w:p>
      <w:pPr>
        <w:pStyle w:val="normal1"/>
        <w:rPr/>
      </w:pPr>
      <w:r>
        <w:rPr/>
        <w:t xml:space="preserve">  </w:t>
      </w:r>
      <w:r>
        <w:rPr/>
        <w:t>postgres:</w:t>
      </w:r>
    </w:p>
    <w:p>
      <w:pPr>
        <w:pStyle w:val="normal1"/>
        <w:rPr/>
      </w:pPr>
      <w:r>
        <w:rPr/>
        <w:t xml:space="preserve">    </w:t>
      </w:r>
      <w:r>
        <w:rPr/>
        <w:t>image: postgres:16-alpine</w:t>
      </w:r>
    </w:p>
    <w:p>
      <w:pPr>
        <w:pStyle w:val="normal1"/>
        <w:rPr/>
      </w:pPr>
      <w:r>
        <w:rPr/>
        <w:t xml:space="preserve">    </w:t>
      </w:r>
      <w:r>
        <w:rPr/>
        <w:t>environment:</w:t>
      </w:r>
    </w:p>
    <w:p>
      <w:pPr>
        <w:pStyle w:val="normal1"/>
        <w:rPr/>
      </w:pPr>
      <w:r>
        <w:rPr/>
        <w:t xml:space="preserve">      </w:t>
      </w:r>
      <w:r>
        <w:rPr/>
        <w:t>POSTGRES_USER: gharvest</w:t>
      </w:r>
    </w:p>
    <w:p>
      <w:pPr>
        <w:pStyle w:val="normal1"/>
        <w:rPr/>
      </w:pPr>
      <w:r>
        <w:rPr/>
        <w:t xml:space="preserve">      </w:t>
      </w:r>
      <w:r>
        <w:rPr/>
        <w:t>POSTGRES_PASSWORD: gharvest_pass</w:t>
      </w:r>
    </w:p>
    <w:p>
      <w:pPr>
        <w:pStyle w:val="normal1"/>
        <w:rPr/>
      </w:pPr>
      <w:r>
        <w:rPr/>
        <w:t xml:space="preserve">      </w:t>
      </w:r>
      <w:r>
        <w:rPr/>
        <w:t>POSTGRES_DB: golden_harvest</w:t>
      </w:r>
    </w:p>
    <w:p>
      <w:pPr>
        <w:pStyle w:val="normal1"/>
        <w:rPr/>
      </w:pPr>
      <w:r>
        <w:rPr/>
        <w:t xml:space="preserve">    </w:t>
      </w:r>
      <w:r>
        <w:rPr/>
        <w:t>ports:</w:t>
      </w:r>
    </w:p>
    <w:p>
      <w:pPr>
        <w:pStyle w:val="normal1"/>
        <w:rPr/>
      </w:pPr>
      <w:r>
        <w:rPr/>
        <w:t xml:space="preserve">      </w:t>
      </w:r>
      <w:r>
        <w:rPr/>
        <w:t>- "5432:5432"</w:t>
      </w:r>
    </w:p>
    <w:p>
      <w:pPr>
        <w:pStyle w:val="normal1"/>
        <w:rPr/>
      </w:pPr>
      <w:r>
        <w:rPr/>
        <w:t xml:space="preserve">    </w:t>
      </w:r>
      <w:r>
        <w:rPr/>
        <w:t>healthcheck:</w:t>
      </w:r>
    </w:p>
    <w:p>
      <w:pPr>
        <w:pStyle w:val="normal1"/>
        <w:rPr/>
      </w:pPr>
      <w:r>
        <w:rPr/>
        <w:t xml:space="preserve">      </w:t>
      </w:r>
      <w:r>
        <w:rPr/>
        <w:t>test: ["CMD-SHELL", "pg_isready -U gharvest -d golden_harvest"]</w:t>
      </w:r>
    </w:p>
    <w:p>
      <w:pPr>
        <w:pStyle w:val="normal1"/>
        <w:rPr/>
      </w:pPr>
      <w:r>
        <w:rPr/>
      </w:r>
    </w:p>
    <w:p>
      <w:pPr>
        <w:pStyle w:val="normal1"/>
        <w:rPr/>
      </w:pPr>
      <w:r>
        <w:rPr/>
        <w:t xml:space="preserve">  </w:t>
      </w:r>
      <w:r>
        <w:rPr/>
        <w:t>backend:</w:t>
      </w:r>
    </w:p>
    <w:p>
      <w:pPr>
        <w:pStyle w:val="normal1"/>
        <w:rPr/>
      </w:pPr>
      <w:r>
        <w:rPr/>
        <w:t xml:space="preserve">    </w:t>
      </w:r>
      <w:r>
        <w:rPr/>
        <w:t>build: { context: ./backend, dockerfile: Dockerfile }</w:t>
      </w:r>
    </w:p>
    <w:p>
      <w:pPr>
        <w:pStyle w:val="normal1"/>
        <w:rPr/>
      </w:pPr>
      <w:r>
        <w:rPr/>
        <w:t xml:space="preserve">    </w:t>
      </w:r>
      <w:r>
        <w:rPr/>
        <w:t>ports:</w:t>
      </w:r>
    </w:p>
    <w:p>
      <w:pPr>
        <w:pStyle w:val="normal1"/>
        <w:rPr/>
      </w:pPr>
      <w:r>
        <w:rPr/>
        <w:t xml:space="preserve">      </w:t>
      </w:r>
      <w:r>
        <w:rPr/>
        <w:t>- "3001:3001"</w:t>
      </w:r>
    </w:p>
    <w:p>
      <w:pPr>
        <w:pStyle w:val="normal1"/>
        <w:rPr/>
      </w:pPr>
      <w:r>
        <w:rPr/>
        <w:t xml:space="preserve">    </w:t>
      </w:r>
      <w:r>
        <w:rPr/>
        <w:t>environment:</w:t>
      </w:r>
    </w:p>
    <w:p>
      <w:pPr>
        <w:pStyle w:val="normal1"/>
        <w:rPr/>
      </w:pPr>
      <w:r>
        <w:rPr/>
        <w:t xml:space="preserve">      </w:t>
      </w:r>
      <w:r>
        <w:rPr/>
        <w:t>- DATABASE_URL=postgresql://gharvest:gharvest_pass@postgres:5432/golden_harvest</w:t>
      </w:r>
    </w:p>
    <w:p>
      <w:pPr>
        <w:pStyle w:val="normal1"/>
        <w:rPr/>
      </w:pPr>
      <w:r>
        <w:rPr/>
        <w:t xml:space="preserve">      </w:t>
      </w:r>
      <w:r>
        <w:rPr/>
        <w:t>- JWT_SECRET=${JWT_SECRET:-changeme_jwt_secret}</w:t>
      </w:r>
    </w:p>
    <w:p>
      <w:pPr>
        <w:pStyle w:val="normal1"/>
        <w:rPr/>
      </w:pPr>
      <w:r>
        <w:rPr/>
        <w:t xml:space="preserve">      </w:t>
      </w:r>
      <w:r>
        <w:rPr/>
        <w:t>- N8N_QUOTE_WEBHOOK=${N8N_QUOTE_WEBHOOK:-}</w:t>
      </w:r>
    </w:p>
    <w:p>
      <w:pPr>
        <w:pStyle w:val="normal1"/>
        <w:rPr/>
      </w:pPr>
      <w:r>
        <w:rPr/>
        <w:t xml:space="preserve">      </w:t>
      </w:r>
      <w:r>
        <w:rPr/>
        <w:t>- N8N_ABANDONED_WEBHOOK=${N8N_ABANDONED_WEBHOOK:-}</w:t>
      </w:r>
    </w:p>
    <w:p>
      <w:pPr>
        <w:pStyle w:val="normal1"/>
        <w:rPr/>
      </w:pPr>
      <w:r>
        <w:rPr/>
        <w:t xml:space="preserve">    </w:t>
      </w:r>
      <w:r>
        <w:rPr/>
        <w:t>depends_on:</w:t>
      </w:r>
    </w:p>
    <w:p>
      <w:pPr>
        <w:pStyle w:val="normal1"/>
        <w:rPr/>
      </w:pPr>
      <w:r>
        <w:rPr/>
        <w:t xml:space="preserve">      </w:t>
      </w:r>
      <w:r>
        <w:rPr/>
        <w:t>postgres: { condition: service_healthy }</w:t>
      </w:r>
    </w:p>
    <w:p>
      <w:pPr>
        <w:pStyle w:val="normal1"/>
        <w:rPr/>
      </w:pPr>
      <w:r>
        <w:rPr/>
      </w:r>
    </w:p>
    <w:p>
      <w:pPr>
        <w:pStyle w:val="normal1"/>
        <w:rPr/>
      </w:pPr>
      <w:r>
        <w:rPr/>
        <w:t xml:space="preserve">  </w:t>
      </w:r>
      <w:r>
        <w:rPr/>
        <w:t>n8n:</w:t>
      </w:r>
    </w:p>
    <w:p>
      <w:pPr>
        <w:pStyle w:val="normal1"/>
        <w:rPr/>
      </w:pPr>
      <w:r>
        <w:rPr/>
        <w:t xml:space="preserve">    </w:t>
      </w:r>
      <w:r>
        <w:rPr/>
        <w:t>build: { context: ./n8n, dockerfile: Dockerfile }</w:t>
      </w:r>
    </w:p>
    <w:p>
      <w:pPr>
        <w:pStyle w:val="normal1"/>
        <w:rPr/>
      </w:pPr>
      <w:r>
        <w:rPr/>
        <w:t xml:space="preserve">    </w:t>
      </w:r>
      <w:r>
        <w:rPr/>
        <w:t>ports:</w:t>
      </w:r>
    </w:p>
    <w:p>
      <w:pPr>
        <w:pStyle w:val="normal1"/>
        <w:rPr/>
      </w:pPr>
      <w:r>
        <w:rPr/>
        <w:t xml:space="preserve">      </w:t>
      </w:r>
      <w:r>
        <w:rPr/>
        <w:t>- "4343:4343"</w:t>
      </w:r>
    </w:p>
    <w:p>
      <w:pPr>
        <w:pStyle w:val="normal1"/>
        <w:rPr/>
      </w:pPr>
      <w:r>
        <w:rPr/>
        <w:t xml:space="preserve">    </w:t>
      </w:r>
      <w:r>
        <w:rPr/>
        <w:t>environment:</w:t>
      </w:r>
    </w:p>
    <w:p>
      <w:pPr>
        <w:pStyle w:val="normal1"/>
        <w:rPr/>
      </w:pPr>
      <w:r>
        <w:rPr/>
        <w:t xml:space="preserve">      </w:t>
      </w:r>
      <w:r>
        <w:rPr/>
        <w:t>- N8N_ENCRYPTION_KEY=${N8N_ENCRYPTION_KEY:-changeme_n8n_key}</w:t>
      </w:r>
    </w:p>
    <w:p>
      <w:pPr>
        <w:pStyle w:val="normal1"/>
        <w:rPr/>
      </w:pPr>
      <w:r>
        <w:rPr/>
        <w:t xml:space="preserve">      </w:t>
      </w:r>
      <w:r>
        <w:rPr/>
        <w:t>- N8N_PORT=${N8N_PORT:-4343}</w:t>
      </w:r>
    </w:p>
    <w:p>
      <w:pPr>
        <w:pStyle w:val="normal1"/>
        <w:rPr/>
      </w:pPr>
      <w:r>
        <w:rPr/>
        <w:t xml:space="preserve">      </w:t>
      </w:r>
      <w:r>
        <w:rPr/>
        <w:t>- GH_API_BASE_URL=http://backend:3001/api</w:t>
      </w:r>
    </w:p>
    <w:p>
      <w:pPr>
        <w:pStyle w:val="normal1"/>
        <w:rPr/>
      </w:pPr>
      <w:r>
        <w:rPr/>
        <w:t xml:space="preserve">    </w:t>
      </w:r>
      <w:r>
        <w:rPr/>
        <w:t>volumes:</w:t>
      </w:r>
    </w:p>
    <w:p>
      <w:pPr>
        <w:pStyle w:val="normal1"/>
        <w:rPr/>
      </w:pPr>
      <w:r>
        <w:rPr/>
        <w:t xml:space="preserve">      </w:t>
      </w:r>
      <w:r>
        <w:rPr/>
        <w:t>- ./n8n/data:/home/node/.n8n</w:t>
      </w:r>
    </w:p>
    <w:p>
      <w:pPr>
        <w:pStyle w:val="normal1"/>
        <w:rPr/>
      </w:pPr>
      <w:r>
        <w:rPr/>
        <w:t xml:space="preserve">    </w:t>
      </w:r>
      <w:r>
        <w:rPr/>
        <w:t>depends_on: [backend]</w:t>
      </w:r>
    </w:p>
    <w:p>
      <w:pPr>
        <w:pStyle w:val="normal1"/>
        <w:rPr/>
      </w:pPr>
      <w:r>
        <w:rPr/>
      </w:r>
    </w:p>
    <w:p>
      <w:pPr>
        <w:pStyle w:val="normal1"/>
        <w:rPr/>
      </w:pPr>
      <w:r>
        <w:rPr/>
        <w:t>networks:</w:t>
      </w:r>
    </w:p>
    <w:p>
      <w:pPr>
        <w:pStyle w:val="normal1"/>
        <w:rPr/>
      </w:pPr>
      <w:r>
        <w:rPr/>
        <w:t xml:space="preserve">  </w:t>
      </w:r>
      <w:r>
        <w:rPr/>
        <w:t>golden_harvest: { driver: bridge }</w:t>
      </w:r>
    </w:p>
    <w:p>
      <w:pPr>
        <w:pStyle w:val="normal1"/>
        <w:rPr/>
      </w:pPr>
      <w:r>
        <w:rPr/>
        <w:t>volumes:</w:t>
      </w:r>
    </w:p>
    <w:p>
      <w:pPr>
        <w:pStyle w:val="normal1"/>
        <w:rPr/>
      </w:pPr>
      <w:r>
        <w:rPr/>
        <w:t xml:space="preserve">  </w:t>
      </w:r>
      <w:r>
        <w:rPr/>
        <w:t>postgres_data:</w:t>
      </w:r>
    </w:p>
    <w:p>
      <w:pPr>
        <w:pStyle w:val="normal1"/>
        <w:spacing w:lineRule="auto" w:line="420" w:before="0" w:after="0"/>
        <w:ind w:firstLine="709"/>
        <w:jc w:val="both"/>
        <w:rPr/>
      </w:pPr>
      <w:r>
        <w:rPr>
          <w:rFonts w:eastAsia="Times New Roman" w:cs="Times New Roman"/>
          <w:b w:val="false"/>
          <w:bCs w:val="false"/>
          <w:i w:val="false"/>
          <w:iCs w:val="false"/>
          <w:sz w:val="24"/>
          <w:szCs w:val="24"/>
        </w:rPr>
        <w:t>ANEXO D — Casos de prueba de unidad e integración</w:t>
      </w:r>
    </w:p>
    <w:p>
      <w:pPr>
        <w:pStyle w:val="normal1"/>
        <w:spacing w:lineRule="auto" w:line="420" w:before="0" w:after="0"/>
        <w:ind w:firstLine="709"/>
        <w:jc w:val="both"/>
        <w:rPr/>
      </w:pPr>
      <w:r>
        <w:rPr>
          <w:rFonts w:eastAsia="Times New Roman" w:cs="Times New Roman"/>
          <w:b w:val="false"/>
          <w:bCs w:val="false"/>
          <w:i w:val="false"/>
          <w:iCs w:val="false"/>
          <w:sz w:val="24"/>
          <w:szCs w:val="24"/>
        </w:rPr>
        <w:t>Contiene la tabla completa de casos de prueba ejecutados sobre el catálogo React (pruebas unitarias y de integración de componentes con Jest y React Testing Library — 10 suites, 70 casos, output completo reproducible con npm run test) y sobre los flujos de n8n (pruebas manuales con payloads sintéticos). Incluye el estado de cada caso (PASS/FAIL) y las notas de corrección aplicadas.</w:t>
      </w:r>
    </w:p>
    <w:p>
      <w:pPr>
        <w:pStyle w:val="normal1"/>
        <w:rPr/>
      </w:pPr>
      <w:r>
        <w:rPr/>
        <w:t>Salida real y completa de `npm run test` (Jest + React Testing Library) corrida el 2026-08-07 sobre la rama Emi-Integracion: 10 suites, 70 casos, 0 fallos. Output crudo reproducible en docs/research/frontend-tests/test-run-2026-08-07-verbose.txt del repositorio.</w:t>
      </w:r>
    </w:p>
    <w:tbl>
      <w:tblPr>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783"/>
        <w:gridCol w:w="2001"/>
      </w:tblGrid>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sz w:val="20"/>
              </w:rPr>
              <w:t>Suite</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sz w:val="20"/>
              </w:rPr>
              <w:t>Casos</w:t>
            </w:r>
          </w:p>
        </w:tc>
      </w:tr>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api.test.ts</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13</w:t>
            </w:r>
          </w:p>
        </w:tc>
      </w:tr>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CartDrawer.test.tsx</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5</w:t>
            </w:r>
          </w:p>
        </w:tc>
      </w:tr>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CartContext.test.tsx</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10</w:t>
            </w:r>
          </w:p>
        </w:tc>
      </w:tr>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ProductCard.test.tsx</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10</w:t>
            </w:r>
          </w:p>
        </w:tc>
      </w:tr>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AdminContext.test.tsx</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5</w:t>
            </w:r>
          </w:p>
        </w:tc>
      </w:tr>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AdminProductsPage.webhookConfigured.test.tsx</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1</w:t>
            </w:r>
          </w:p>
        </w:tc>
      </w:tr>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AdminQuotesPage.test.tsx</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6</w:t>
            </w:r>
          </w:p>
        </w:tc>
      </w:tr>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AdminLoginPage.test.tsx</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3</w:t>
            </w:r>
          </w:p>
        </w:tc>
      </w:tr>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QuoteForm.test.tsx</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6</w:t>
            </w:r>
          </w:p>
        </w:tc>
      </w:tr>
      <w:tr>
        <w:trPr/>
        <w:tc>
          <w:tcPr>
            <w:tcW w:w="6783"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AdminProductsPage.test.tsx</w:t>
            </w:r>
          </w:p>
        </w:tc>
        <w:tc>
          <w:tcPr>
            <w:tcW w:w="2001" w:type="dxa"/>
            <w:tcBorders>
              <w:top w:val="single" w:sz="4" w:space="0" w:color="888888"/>
              <w:start w:val="single" w:sz="4" w:space="0" w:color="888888"/>
              <w:bottom w:val="single" w:sz="4" w:space="0" w:color="888888"/>
              <w:end w:val="single" w:sz="4" w:space="0" w:color="888888"/>
            </w:tcBorders>
          </w:tcPr>
          <w:p>
            <w:pPr>
              <w:pStyle w:val="normal1"/>
              <w:rPr/>
            </w:pPr>
            <w:r>
              <w:rPr>
                <w:b w:val="false"/>
                <w:sz w:val="20"/>
              </w:rPr>
              <w:t>11</w:t>
            </w:r>
          </w:p>
        </w:tc>
      </w:tr>
    </w:tbl>
    <w:p>
      <w:pPr>
        <w:pStyle w:val="normal1"/>
        <w:spacing w:lineRule="auto" w:line="420" w:before="0" w:after="0"/>
        <w:ind w:firstLine="709"/>
        <w:jc w:val="both"/>
        <w:rPr/>
      </w:pPr>
      <w:r>
        <w:rPr>
          <w:rFonts w:eastAsia="Times New Roman" w:cs="Times New Roman"/>
          <w:b w:val="false"/>
          <w:bCs w:val="false"/>
          <w:i w:val="false"/>
          <w:iCs w:val="false"/>
          <w:sz w:val="24"/>
          <w:szCs w:val="24"/>
        </w:rPr>
        <w:t>Las 70 pruebas finalizaron en PASS, sin fallos registrados. El detalle caso por caso —incluyendo la aserción específica de cada test— se encuentra en el output completo referenciado arriba, no reproducido aquí por extensión.</w:t>
      </w:r>
    </w:p>
    <w:p>
      <w:pPr>
        <w:pStyle w:val="normal1"/>
        <w:spacing w:lineRule="auto" w:line="420" w:before="0" w:after="0"/>
        <w:ind w:firstLine="709"/>
        <w:jc w:val="both"/>
        <w:rPr/>
      </w:pPr>
      <w:r>
        <w:rPr>
          <w:rFonts w:eastAsia="Times New Roman" w:cs="Times New Roman"/>
          <w:b w:val="false"/>
          <w:bCs w:val="false"/>
          <w:i w:val="false"/>
          <w:iCs w:val="false"/>
          <w:sz w:val="24"/>
          <w:szCs w:val="24"/>
        </w:rPr>
        <w:t>ANEXO F — Diagrama de arquitectura del sistema</w:t>
      </w:r>
    </w:p>
    <w:p>
      <w:pPr>
        <w:pStyle w:val="normal1"/>
        <w:spacing w:lineRule="auto" w:line="420" w:before="0" w:after="0"/>
        <w:ind w:firstLine="709"/>
        <w:jc w:val="both"/>
        <w:rPr/>
      </w:pPr>
      <w:r>
        <w:rPr>
          <w:rFonts w:eastAsia="Times New Roman" w:cs="Times New Roman"/>
          <w:b w:val="false"/>
          <w:bCs w:val="false"/>
          <w:i w:val="false"/>
          <w:iCs w:val="false"/>
          <w:sz w:val="24"/>
          <w:szCs w:val="24"/>
        </w:rPr>
        <w:t>Contiene el diagrama de arquitectura de tres capas del ecosistema digital (Figura 2), con los flujos de datos principales entre el frontend React, el backend Express/Prisma, PostgreSQL y la instancia de n8n.</w:t>
      </w:r>
    </w:p>
    <w:p>
      <w:pPr>
        <w:pStyle w:val="normal1"/>
        <w:jc w:val="center"/>
        <w:rPr/>
      </w:pPr>
      <w:r>
        <w:rPr/>
        <w:drawing>
          <wp:inline distT="0" distB="0" distL="0" distR="0">
            <wp:extent cx="5943600" cy="817435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noChangeArrowheads="1"/>
                    </pic:cNvPicPr>
                  </pic:nvPicPr>
                  <pic:blipFill>
                    <a:blip r:embed="rId14"/>
                    <a:stretch>
                      <a:fillRect/>
                    </a:stretch>
                  </pic:blipFill>
                  <pic:spPr bwMode="auto">
                    <a:xfrm>
                      <a:off x="0" y="0"/>
                      <a:ext cx="5943600" cy="8174355"/>
                    </a:xfrm>
                    <a:prstGeom prst="rect">
                      <a:avLst/>
                    </a:prstGeom>
                    <a:noFill/>
                  </pic:spPr>
                </pic:pic>
              </a:graphicData>
            </a:graphic>
          </wp:inline>
        </w:drawing>
      </w:r>
    </w:p>
    <w:p>
      <w:pPr>
        <w:pStyle w:val="normal1"/>
        <w:jc w:val="center"/>
        <w:rPr/>
      </w:pPr>
      <w:r>
        <w:rPr>
          <w:i/>
        </w:rPr>
        <w:t>Copia del diagrama de arquitectura (idéntico a la Figura 2 del cuerpo, §4.1).</w:t>
      </w:r>
    </w:p>
    <w:p>
      <w:pPr>
        <w:pStyle w:val="normal1"/>
        <w:spacing w:lineRule="auto" w:line="420" w:before="0" w:after="0"/>
        <w:ind w:firstLine="709"/>
        <w:jc w:val="both"/>
        <w:rPr/>
      </w:pPr>
      <w:r>
        <w:rPr>
          <w:rFonts w:eastAsia="Times New Roman" w:cs="Times New Roman"/>
          <w:b w:val="false"/>
          <w:bCs w:val="false"/>
          <w:i w:val="false"/>
          <w:iCs w:val="false"/>
          <w:sz w:val="24"/>
          <w:szCs w:val="24"/>
        </w:rPr>
        <w:t>ANEXO G — Capturas de pantalla de los flujos n8n</w:t>
      </w:r>
    </w:p>
    <w:p>
      <w:pPr>
        <w:pStyle w:val="normal1"/>
        <w:spacing w:lineRule="auto" w:line="420" w:before="0" w:after="0"/>
        <w:ind w:firstLine="709"/>
        <w:jc w:val="both"/>
        <w:rPr/>
      </w:pPr>
      <w:r>
        <w:rPr>
          <w:rFonts w:eastAsia="Times New Roman" w:cs="Times New Roman"/>
          <w:b w:val="false"/>
          <w:bCs w:val="false"/>
          <w:i w:val="false"/>
          <w:iCs w:val="false"/>
          <w:sz w:val="24"/>
          <w:szCs w:val="24"/>
        </w:rPr>
        <w:t>Contiene capturas de pantalla reales de la interfaz de n8n con los nueve workflows importados en la instancia —los ocho workflows funcionales descritos en §4.3 más el workflow auxiliar de configuración _TMP_CreateSocialSheet, que no se cuenta entre los funcionales— (ver docs/architecture/n8n.md en el Anexo J para el detalle de cuáles están activos). Incluye anotaciones que identifican cada nodo y su función dentro del flujo.</w:t>
      </w:r>
    </w:p>
    <w:p>
      <w:pPr>
        <w:pStyle w:val="normal1"/>
        <w:jc w:val="center"/>
        <w:rPr/>
      </w:pPr>
      <w:r>
        <w:rPr/>
        <w:drawing>
          <wp:inline distT="0" distB="0" distL="0" distR="0">
            <wp:extent cx="5486400" cy="3903980"/>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noChangeArrowheads="1"/>
                    </pic:cNvPicPr>
                  </pic:nvPicPr>
                  <pic:blipFill>
                    <a:blip r:embed="rId15"/>
                    <a:stretch>
                      <a:fillRect/>
                    </a:stretch>
                  </pic:blipFill>
                  <pic:spPr bwMode="auto">
                    <a:xfrm>
                      <a:off x="0" y="0"/>
                      <a:ext cx="5486400" cy="3903980"/>
                    </a:xfrm>
                    <a:prstGeom prst="rect">
                      <a:avLst/>
                    </a:prstGeom>
                    <a:noFill/>
                  </pic:spPr>
                </pic:pic>
              </a:graphicData>
            </a:graphic>
          </wp:inline>
        </w:drawing>
      </w:r>
    </w:p>
    <w:p>
      <w:pPr>
        <w:pStyle w:val="normal1"/>
        <w:jc w:val="center"/>
        <w:rPr/>
      </w:pPr>
      <w:r>
        <w:rPr>
          <w:i/>
        </w:rPr>
        <w:t>Workflow n8n — 01. Automated Branding.</w:t>
      </w:r>
    </w:p>
    <w:p>
      <w:pPr>
        <w:pStyle w:val="normal1"/>
        <w:jc w:val="center"/>
        <w:rPr/>
      </w:pPr>
      <w:r>
        <w:rPr/>
        <w:drawing>
          <wp:inline distT="0" distB="0" distL="0" distR="0">
            <wp:extent cx="5486400" cy="307721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noChangeArrowheads="1"/>
                    </pic:cNvPicPr>
                  </pic:nvPicPr>
                  <pic:blipFill>
                    <a:blip r:embed="rId16"/>
                    <a:stretch>
                      <a:fillRect/>
                    </a:stretch>
                  </pic:blipFill>
                  <pic:spPr bwMode="auto">
                    <a:xfrm>
                      <a:off x="0" y="0"/>
                      <a:ext cx="5486400" cy="3077210"/>
                    </a:xfrm>
                    <a:prstGeom prst="rect">
                      <a:avLst/>
                    </a:prstGeom>
                    <a:noFill/>
                  </pic:spPr>
                </pic:pic>
              </a:graphicData>
            </a:graphic>
          </wp:inline>
        </w:drawing>
      </w:r>
    </w:p>
    <w:p>
      <w:pPr>
        <w:pStyle w:val="normal1"/>
        <w:jc w:val="center"/>
        <w:rPr/>
      </w:pPr>
      <w:r>
        <w:rPr>
          <w:i/>
        </w:rPr>
        <w:t>Workflow n8n — 02. Website Health &amp; SEO Monitor.</w:t>
      </w:r>
    </w:p>
    <w:p>
      <w:pPr>
        <w:pStyle w:val="normal1"/>
        <w:jc w:val="center"/>
        <w:rPr/>
      </w:pPr>
      <w:r>
        <w:rPr>
          <w:i/>
        </w:rPr>
        <w:t>Workflow n8n — 03. Google Maps Review Management. Captura mostrada en el cuerpo como Figura 5d (§4.3).</w:t>
      </w:r>
    </w:p>
    <w:p>
      <w:pPr>
        <w:pStyle w:val="normal1"/>
        <w:jc w:val="center"/>
        <w:rPr/>
      </w:pPr>
      <w:r>
        <w:rPr>
          <w:i/>
        </w:rPr>
        <w:t>Workflow n8n — 04. Social Media Content Engine. Captura mostrada en el cuerpo como Figura 5a (§4.3).</w:t>
      </w:r>
    </w:p>
    <w:p>
      <w:pPr>
        <w:pStyle w:val="normal1"/>
        <w:jc w:val="center"/>
        <w:rPr/>
      </w:pPr>
      <w:r>
        <w:rPr/>
        <w:drawing>
          <wp:inline distT="0" distB="0" distL="0" distR="0">
            <wp:extent cx="5486400" cy="2573655"/>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noChangeArrowheads="1"/>
                    </pic:cNvPicPr>
                  </pic:nvPicPr>
                  <pic:blipFill>
                    <a:blip r:embed="rId17"/>
                    <a:stretch>
                      <a:fillRect/>
                    </a:stretch>
                  </pic:blipFill>
                  <pic:spPr bwMode="auto">
                    <a:xfrm>
                      <a:off x="0" y="0"/>
                      <a:ext cx="5486400" cy="2573655"/>
                    </a:xfrm>
                    <a:prstGeom prst="rect">
                      <a:avLst/>
                    </a:prstGeom>
                    <a:noFill/>
                  </pic:spPr>
                </pic:pic>
              </a:graphicData>
            </a:graphic>
          </wp:inline>
        </w:drawing>
      </w:r>
    </w:p>
    <w:p>
      <w:pPr>
        <w:pStyle w:val="normal1"/>
        <w:jc w:val="center"/>
        <w:rPr/>
      </w:pPr>
      <w:r>
        <w:rPr>
          <w:i/>
        </w:rPr>
        <w:t>Workflow n8n — 05. Monthly Activity Report.</w:t>
      </w:r>
    </w:p>
    <w:p>
      <w:pPr>
        <w:pStyle w:val="normal1"/>
        <w:jc w:val="center"/>
        <w:rPr/>
      </w:pPr>
      <w:r>
        <w:rPr/>
        <w:drawing>
          <wp:inline distT="0" distB="0" distL="0" distR="0">
            <wp:extent cx="5486400" cy="4172585"/>
            <wp:effectExtent l="0" t="0" r="0"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noChangeArrowheads="1"/>
                    </pic:cNvPicPr>
                  </pic:nvPicPr>
                  <pic:blipFill>
                    <a:blip r:embed="rId18"/>
                    <a:stretch>
                      <a:fillRect/>
                    </a:stretch>
                  </pic:blipFill>
                  <pic:spPr bwMode="auto">
                    <a:xfrm>
                      <a:off x="0" y="0"/>
                      <a:ext cx="5486400" cy="4172585"/>
                    </a:xfrm>
                    <a:prstGeom prst="rect">
                      <a:avLst/>
                    </a:prstGeom>
                    <a:noFill/>
                  </pic:spPr>
                </pic:pic>
              </a:graphicData>
            </a:graphic>
          </wp:inline>
        </w:drawing>
      </w:r>
    </w:p>
    <w:p>
      <w:pPr>
        <w:pStyle w:val="normal1"/>
        <w:jc w:val="center"/>
        <w:rPr/>
      </w:pPr>
      <w:r>
        <w:rPr>
          <w:i/>
        </w:rPr>
        <w:t>Workflow n8n — 06a. Newsletter Quincenal.</w:t>
      </w:r>
    </w:p>
    <w:p>
      <w:pPr>
        <w:pStyle w:val="normal1"/>
        <w:jc w:val="center"/>
        <w:rPr/>
      </w:pPr>
      <w:r>
        <w:rPr>
          <w:i/>
        </w:rPr>
        <w:t>Workflow n8n — 06b. Carrito Abandonado. Captura mostrada en el cuerpo como Figura 5c (§4.3).</w:t>
      </w:r>
    </w:p>
    <w:p>
      <w:pPr>
        <w:pStyle w:val="normal1"/>
        <w:jc w:val="center"/>
        <w:rPr/>
      </w:pPr>
      <w:r>
        <w:rPr>
          <w:i/>
        </w:rPr>
        <w:t>Workflow n8n — 07. Logistics &amp; Shipping Automation. Captura mostrada en el cuerpo como Figura 5b (§4.3).</w:t>
      </w:r>
    </w:p>
    <w:p>
      <w:pPr>
        <w:pStyle w:val="normal1"/>
        <w:spacing w:lineRule="auto" w:line="420" w:before="0" w:after="0"/>
        <w:ind w:firstLine="709"/>
        <w:jc w:val="both"/>
        <w:rPr/>
      </w:pPr>
      <w:r>
        <w:rPr>
          <w:rFonts w:eastAsia="Times New Roman" w:cs="Times New Roman"/>
          <w:b w:val="false"/>
          <w:bCs w:val="false"/>
          <w:i w:val="false"/>
          <w:iCs w:val="false"/>
          <w:sz w:val="24"/>
          <w:szCs w:val="24"/>
        </w:rPr>
        <w:t>ANEXO H — Guía de configuración segura de variables de entorno</w:t>
      </w:r>
    </w:p>
    <w:p>
      <w:pPr>
        <w:pStyle w:val="normal1"/>
        <w:spacing w:lineRule="auto" w:line="420" w:before="0" w:after="0"/>
        <w:ind w:firstLine="709"/>
        <w:jc w:val="both"/>
        <w:rPr/>
      </w:pPr>
      <w:r>
        <w:rPr>
          <w:rFonts w:eastAsia="Times New Roman" w:cs="Times New Roman"/>
          <w:b w:val="false"/>
          <w:bCs w:val="false"/>
          <w:i w:val="false"/>
          <w:iCs w:val="false"/>
          <w:sz w:val="24"/>
          <w:szCs w:val="24"/>
        </w:rPr>
        <w:t>Contiene las instrucciones paso a paso para la configuración del archivo .env con las credenciales de las APIs externas integradas, las cadenas de conexión a las bases de datos y la clave de autenticación del webhook, siguiendo las mejores prácticas de seguridad para entornos de producción.</w:t>
      </w:r>
    </w:p>
    <w:p>
      <w:pPr>
        <w:pStyle w:val="normal1"/>
        <w:rPr/>
      </w:pPr>
      <w:r>
        <w:rPr/>
        <w:t>Variables de entorno reales usadas por el ecosistema (nombres verificados contra docker-compose.yml y el código fuente). Ninguna se versiona en git: cada servicio lee su propio archivo .env local a partir de un .env.example versionado sin valores reales. Los ejemplos de esta tabla son placeholders, no las claves reales del despliegue.</w:t>
      </w:r>
    </w:p>
    <w:tbl>
      <w:tblPr>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581"/>
        <w:gridCol w:w="1587"/>
        <w:gridCol w:w="4104"/>
        <w:gridCol w:w="1512"/>
      </w:tblGrid>
      <w:tr>
        <w:trPr>
          <w:tblHeader w:val="true"/>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sz w:val="18"/>
              </w:rPr>
              <w:t>Variable</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sz w:val="18"/>
              </w:rPr>
              <w:t>Archivo</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sz w:val="18"/>
              </w:rPr>
              <w:t>Propósito</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sz w:val="18"/>
              </w:rPr>
              <w:t>Ejemplo / formato</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DATABASE_URL</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backend/.env</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Cadena de conexión a PostgreSQL</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postgresql://user:pass@postgres:5432/golden_harvest</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JWT_SECRET</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backend/.env</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Clave de firma de los tokens JWT del panel admin</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(generado con openssl rand -hex 32)</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N8N_QUOTE_WEBHOOK</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backend/.env</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URL del webhook de n8n disparado al crear una cotización</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http://n8n:4343/webhook/quote</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N8N_ABANDONED_WEBHOOK</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backend/.env, frontend/.env (VITE_)</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URL del webhook de carrito abandonado (2h)</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http://n8n:4343/webhook/abandoned</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N8N_LOGISTICS_WEBHOOK</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backend/.env</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URL del webhook de logística al cerrar una cotización</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http://n8n:4343/webhook/logistics</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ABANDONED_CART_THRESHOLD_MS</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backend/.env</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Umbral de inactividad para considerar un carrito abandonado</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7200000 (2h)</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VITE_API_URL</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frontend/.env</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URL base del backend consumida por el cliente API</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http://localhost:3001</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VITE_N8N_WF4_WEBHOOK</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frontend/.env</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Webhook del workflow 04 (Social Media Content Engine) disparado desde el panel admin</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http://localhost:4343/webhook/wf4</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N8N_ENCRYPTION_KEY</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n8n/.env</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Clave maestra de n8n: cifra las credenciales guardadas en su base SQLite interna</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(generado con openssl rand -hex 24)</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N8N_PORT / N8N_HOST / WEBHOOK_URL</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n8n/.env</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Puerto y host público fijados en 4343 (no el 5678 por defecto) para que los redirects OAuth resuelvan</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4343 / localhost / http://localhost:4343/</w:t>
            </w:r>
          </w:p>
        </w:tc>
      </w:tr>
      <w:tr>
        <w:trPr/>
        <w:tc>
          <w:tcPr>
            <w:tcW w:w="1581"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GH_API_BASE_URL</w:t>
            </w:r>
          </w:p>
        </w:tc>
        <w:tc>
          <w:tcPr>
            <w:tcW w:w="1587"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docker-compose.yml (n8n)</w:t>
            </w:r>
          </w:p>
        </w:tc>
        <w:tc>
          <w:tcPr>
            <w:tcW w:w="4104"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Base URL del backend, para que los workflows de n8n puedan leer datos (uso aún no implementado, ver docs/architecture/n8n.md)</w:t>
            </w:r>
          </w:p>
        </w:tc>
        <w:tc>
          <w:tcPr>
            <w:tcW w:w="1512" w:type="dxa"/>
            <w:tcBorders>
              <w:top w:val="single" w:sz="4" w:space="0" w:color="888888"/>
              <w:start w:val="single" w:sz="4" w:space="0" w:color="888888"/>
              <w:bottom w:val="single" w:sz="4" w:space="0" w:color="888888"/>
              <w:end w:val="single" w:sz="4" w:space="0" w:color="888888"/>
            </w:tcBorders>
          </w:tcPr>
          <w:p>
            <w:pPr>
              <w:pStyle w:val="normal1"/>
              <w:rPr/>
            </w:pPr>
            <w:r>
              <w:rPr>
                <w:b w:val="false"/>
                <w:sz w:val="18"/>
              </w:rPr>
              <w:t>http://backend:3001/api</w:t>
            </w:r>
          </w:p>
        </w:tc>
      </w:tr>
    </w:tbl>
    <w:p>
      <w:pPr>
        <w:pStyle w:val="normal1"/>
        <w:spacing w:lineRule="auto" w:line="420" w:before="0" w:after="0"/>
        <w:ind w:firstLine="709"/>
        <w:jc w:val="both"/>
        <w:rPr/>
      </w:pPr>
      <w:r>
        <w:rPr>
          <w:rFonts w:eastAsia="Times New Roman" w:cs="Times New Roman"/>
          <w:b w:val="false"/>
          <w:bCs w:val="false"/>
          <w:i w:val="false"/>
          <w:iCs w:val="false"/>
          <w:sz w:val="24"/>
          <w:szCs w:val="24"/>
        </w:rPr>
        <w:t>ANEXO I — Reporte de actividad comercial de Golden Harvest S.A. (2025)</w:t>
      </w:r>
    </w:p>
    <w:p>
      <w:pPr>
        <w:pStyle w:val="normal1"/>
        <w:spacing w:lineRule="auto" w:line="420" w:before="0" w:after="0"/>
        <w:ind w:firstLine="709"/>
        <w:jc w:val="both"/>
        <w:rPr/>
      </w:pPr>
      <w:r>
        <w:rPr>
          <w:rFonts w:eastAsia="Times New Roman" w:cs="Times New Roman"/>
          <w:b w:val="false"/>
          <w:bCs w:val="false"/>
          <w:i w:val="false"/>
          <w:iCs w:val="false"/>
          <w:sz w:val="24"/>
          <w:szCs w:val="24"/>
        </w:rPr>
        <w:t>No se dispone de un extracto real del sistema de gestión de Golden Harvest S.A. para el período enero–diciembre 2025 (restricción declarada en la sección 1.7(a) del cuerpo: el equipo de desarrollo no tuvo acceso a datos de operación reales de la empresa). Este trabajo no presenta una proyección de ahorro operativo logístico, dado que la comparación entre el proceso manual y el proceso automatizado (§5.2.3) no fue instrumentada cuantitativamente. En lugar de presentar una tabla de pedidos mensuales o una proyección de ahorro que simularía una precisión no alcanzada, se deja explícito que este anexo no contiene una estimación de volumen ni de horas ahorradas.</w:t>
      </w:r>
    </w:p>
    <w:p>
      <w:pPr>
        <w:pStyle w:val="normal1"/>
        <w:spacing w:lineRule="auto" w:line="420" w:before="0" w:after="0"/>
        <w:ind w:firstLine="709"/>
        <w:jc w:val="both"/>
        <w:rPr/>
      </w:pPr>
      <w:r>
        <w:rPr>
          <w:rFonts w:eastAsia="Times New Roman" w:cs="Times New Roman"/>
          <w:b w:val="false"/>
          <w:bCs w:val="false"/>
          <w:i w:val="false"/>
          <w:iCs w:val="false"/>
          <w:sz w:val="24"/>
          <w:szCs w:val="24"/>
        </w:rPr>
        <w:t>ANEXO J — Código fuente del proyecto</w:t>
      </w:r>
    </w:p>
    <w:p>
      <w:pPr>
        <w:pStyle w:val="normal1"/>
        <w:spacing w:lineRule="auto" w:line="420" w:before="0" w:after="0"/>
        <w:ind w:firstLine="709"/>
        <w:jc w:val="both"/>
        <w:rPr/>
      </w:pPr>
      <w:r>
        <w:rPr>
          <w:rFonts w:eastAsia="Times New Roman" w:cs="Times New Roman"/>
          <w:b w:val="false"/>
          <w:bCs w:val="false"/>
          <w:i w:val="false"/>
          <w:iCs w:val="false"/>
          <w:sz w:val="24"/>
          <w:szCs w:val="24"/>
        </w:rPr>
        <w:t>El código fuente completo del proyecto se encuentra en un repositorio privado de GitHub. Dado que el repositorio contiene secretos históricos aún no rotados (ver SECURITY-WARNING.md en la raíz del repositorio), no se publica en su totalidad junto con esta tesis. Se anexan en su lugar, como subconjunto no sensible: el código fuente completo del frontend y del backend (sin archivos .env), el archivo docker-compose.yml, y los ocho workflows de n8n exportados como JSON (n8n/workflows/*.json) —ocho funcionales y uno auxiliar de configuración. Ninguno de estos archivos contiene valores de credenciales. El acceso al repositorio completo, incluyendo el historial de commits, puede ser solicitado al director de tesis, Prof. Alberto Cortez, mediante solicitud formal a la Facultad Regional Mendoza de la UTN.</w:t>
      </w:r>
    </w:p>
    <w:sectPr>
      <w:footerReference w:type="even" r:id="rId19"/>
      <w:footerReference w:type="default" r:id="rId20"/>
      <w:footerReference w:type="first" r:id="rId21"/>
      <w:type w:val="nextPage"/>
      <w:pgSz w:w="11906" w:h="16838"/>
      <w:pgMar w:left="1701" w:right="1417" w:gutter="0" w:header="0" w:top="1417" w:footer="72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82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82</w:t>
    </w:r>
    <w:r>
      <w:rPr/>
      <w:fldChar w:fldCharType="end"/>
    </w:r>
  </w:p>
</w:ft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Sans NF"/>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420" w:before="0" w:after="0"/>
      <w:jc w:val="start"/>
    </w:pPr>
    <w:rPr>
      <w:rFonts w:ascii="Times New Roman" w:hAnsi="Times New Roman" w:eastAsia="Noto Serif CJK SC" w:cs="NotoSans NF"/>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480" w:after="0"/>
      <w:outlineLvl w:val="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outlineLvl w:val="1"/>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normal1" w:default="1">
    <w:name w:val="normal1"/>
    <w:qFormat/>
    <w:pPr>
      <w:widowControl/>
      <w:suppressAutoHyphens w:val="true"/>
      <w:bidi w:val="0"/>
      <w:spacing w:lineRule="auto" w:line="420" w:before="0" w:after="0"/>
      <w:jc w:val="start"/>
    </w:pPr>
    <w:rPr>
      <w:rFonts w:ascii="Times New Roman" w:hAnsi="Times New Roman" w:eastAsia="Noto Serif CJK SC" w:cs="NotoSans NF"/>
      <w:color w:val="auto"/>
      <w:kern w:val="0"/>
      <w:sz w:val="24"/>
      <w:szCs w:val="24"/>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FiguraCaptionIDX" w:customStyle="1">
    <w:name w:val="FiguraCaptionIDX"/>
    <w:basedOn w:val="normal1"/>
    <w:qFormat/>
    <w:pPr/>
    <w:rPr/>
  </w:style>
  <w:style w:type="paragraph" w:styleId="TablaCaptionIDX" w:customStyle="1">
    <w:name w:val="TablaCaptionIDX"/>
    <w:basedOn w:val="normal1"/>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8788" w:leader="dot"/>
      </w:tabs>
      <w:ind w:hanging="0" w:start="0"/>
    </w:pPr>
    <w:rPr/>
  </w:style>
  <w:style w:type="paragraph" w:styleId="TOC2">
    <w:name w:val="toc 2"/>
    <w:basedOn w:val="Index"/>
    <w:pPr>
      <w:tabs>
        <w:tab w:val="clear" w:pos="720"/>
        <w:tab w:val="right" w:pos="8505" w:leader="dot"/>
      </w:tabs>
      <w:ind w:hanging="0" w:start="283"/>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LibreOffice/25.8.7.3$Linux_X86_64 LibreOffice_project/580$Build-3</Application>
  <AppVersion>15.0000</AppVersion>
  <Pages>82</Pages>
  <Words>20127</Words>
  <Characters>115892</Characters>
  <CharactersWithSpaces>135591</CharactersWithSpaces>
  <Paragraphs>677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2026-08-18T14:57:52Z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