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drawing>
          <wp:inline distT="0" distB="0" distL="0" distR="0">
            <wp:extent cx="10477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047750" cy="1047750"/>
                    </a:xfrm>
                    <a:prstGeom prst="rect">
                      <a:avLst/>
                    </a:prstGeom>
                  </pic:spPr>
                </pic:pic>
              </a:graphicData>
            </a:graphic>
          </wp:inline>
        </w:drawing>
      </w:r>
    </w:p>
    <w:p>
      <w:pPr>
        <w:spacing w:after="60" w:before="0"/>
        <w:jc w:val="center"/>
      </w:pPr>
      <w:r>
        <w:rPr>
          <w:rFonts w:ascii="Arial" w:cs="Arial" w:eastAsia="Arial" w:hAnsi="Arial"/>
          <w:b/>
          <w:bCs/>
          <w:color w:val="C9A227"/>
          <w:spacing w:val="300"/>
          <w:sz w:val="36"/>
          <w:szCs w:val="36"/>
        </w:rPr>
        <w:t xml:space="preserve">ACUMENUS</w:t>
      </w:r>
    </w:p>
    <w:p>
      <w:pPr>
        <w:spacing w:after="200"/>
        <w:jc w:val="center"/>
      </w:pPr>
      <w:r>
        <w:rPr>
          <w:rFonts w:ascii="Arial" w:cs="Arial" w:eastAsia="Arial" w:hAnsi="Arial"/>
          <w:color w:val="666666"/>
          <w:spacing w:val="60"/>
          <w:sz w:val="18"/>
          <w:szCs w:val="18"/>
        </w:rPr>
        <w:t xml:space="preserve">ZEPHYRUS  ·  HOSPITAL OPERATIONS INTELLIGENCE</w:t>
      </w:r>
    </w:p>
    <w:p>
      <w:pPr>
        <w:pBdr>
          <w:bottom w:val="single" w:color="C9A227" w:sz="18" w:space="4"/>
        </w:pBdr>
        <w:spacing w:after="320"/>
      </w:pPr>
      <w:r>
        <w:rPr>
          <w:sz w:val="2"/>
          <w:szCs w:val="2"/>
        </w:rPr>
        <w:t xml:space="preserve"/>
      </w:r>
    </w:p>
    <w:p>
      <w:pPr>
        <w:spacing w:after="120"/>
        <w:jc w:val="center"/>
      </w:pPr>
      <w:r>
        <w:rPr>
          <w:rFonts w:ascii="Arial" w:cs="Arial" w:eastAsia="Arial" w:hAnsi="Arial"/>
          <w:b/>
          <w:bCs/>
          <w:color w:val="0E0E11"/>
          <w:sz w:val="40"/>
          <w:szCs w:val="40"/>
        </w:rPr>
        <w:t xml:space="preserve">OCEL Care-Pathway Modeling &amp; Measurement Program</w:t>
      </w:r>
    </w:p>
    <w:p>
      <w:pPr>
        <w:spacing w:after="200" w:line="300"/>
        <w:jc w:val="center"/>
      </w:pPr>
      <w:r>
        <w:rPr>
          <w:rFonts w:ascii="Arial" w:cs="Arial" w:eastAsia="Arial" w:hAnsi="Arial"/>
          <w:i/>
          <w:iCs/>
          <w:color w:val="666666"/>
          <w:sz w:val="24"/>
          <w:szCs w:val="24"/>
        </w:rPr>
        <w:t xml:space="preserve">Target architecture, measurement design, validation plan, and implementation backlog for 250 individual care pathways</w:t>
      </w:r>
    </w:p>
    <w:p>
      <w:pPr>
        <w:spacing w:after="200"/>
        <w:jc w:val="center"/>
      </w:pPr>
      <w:r>
        <w:rPr>
          <w:rFonts w:ascii="Arial" w:cs="Arial" w:eastAsia="Arial" w:hAnsi="Arial"/>
          <w:b/>
          <w:bCs/>
          <w:color w:val="9B1B30"/>
          <w:spacing w:val="40"/>
          <w:sz w:val="22"/>
          <w:szCs w:val="22"/>
        </w:rPr>
        <w:t xml:space="preserve">ACUM-ENG-OCEL-002</w:t>
      </w:r>
    </w:p>
    <w:p>
      <w:pPr>
        <w:pBdr>
          <w:bottom w:val="single" w:color="C9A227" w:sz="8" w:space="4"/>
        </w:pBdr>
        <w:spacing w:after="300"/>
      </w:pPr>
      <w:r>
        <w:rPr>
          <w:sz w:val="2"/>
          <w:szCs w:val="2"/>
        </w:rPr>
        <w:t xml:space="preserve"/>
      </w:r>
    </w:p>
    <w:p>
      <w:pPr>
        <w:spacing w:after="40"/>
        <w:jc w:val="center"/>
      </w:pPr>
      <w:r>
        <w:rPr>
          <w:rFonts w:ascii="Arial" w:cs="Arial" w:eastAsia="Arial" w:hAnsi="Arial"/>
          <w:b/>
          <w:bCs/>
          <w:color w:val="9B1B30"/>
          <w:sz w:val="22"/>
          <w:szCs w:val="22"/>
        </w:rPr>
        <w:t xml:space="preserve">Sanjay M. Udoshi, MD</w:t>
      </w:r>
    </w:p>
    <w:p>
      <w:pPr>
        <w:spacing w:after="40"/>
        <w:jc w:val="center"/>
      </w:pPr>
      <w:r>
        <w:rPr>
          <w:rFonts w:ascii="Arial" w:cs="Arial" w:eastAsia="Arial" w:hAnsi="Arial"/>
          <w:color w:val="666666"/>
          <w:sz w:val="20"/>
          <w:szCs w:val="20"/>
        </w:rPr>
        <w:t xml:space="preserve">Founder, Acumenus, Inc.</w:t>
      </w:r>
    </w:p>
    <w:p>
      <w:pPr>
        <w:spacing w:after="500"/>
        <w:jc w:val="center"/>
      </w:pPr>
      <w:r>
        <w:rPr>
          <w:rFonts w:ascii="Arial" w:cs="Arial" w:eastAsia="Arial" w:hAnsi="Arial"/>
          <w:color w:val="666666"/>
          <w:sz w:val="20"/>
          <w:szCs w:val="20"/>
        </w:rPr>
        <w:t xml:space="preserve">Technical Program Specification  ·  July 24, 2026</w:t>
      </w:r>
    </w:p>
    <w:p>
      <w:pPr>
        <w:spacing w:after="80"/>
        <w:jc w:val="center"/>
      </w:pPr>
      <w:r>
        <w:rPr>
          <w:rFonts w:ascii="Arial" w:cs="Arial" w:eastAsia="Arial" w:hAnsi="Arial"/>
          <w:b/>
          <w:bCs/>
          <w:color w:val="9B1B30"/>
          <w:spacing w:val="200"/>
          <w:sz w:val="18"/>
          <w:szCs w:val="18"/>
        </w:rPr>
        <w:t xml:space="preserve">CONFIDENTIAL</w:t>
      </w:r>
    </w:p>
    <w:p>
      <w:pPr>
        <w:jc w:val="center"/>
      </w:pPr>
      <w:r>
        <w:rPr>
          <w:rFonts w:ascii="Arial" w:cs="Arial" w:eastAsia="Arial" w:hAnsi="Arial"/>
          <w:color w:val="666666"/>
          <w:sz w:val="16"/>
          <w:szCs w:val="16"/>
        </w:rPr>
        <w:t xml:space="preserve">© 2026 Acumenus, Inc. All rights reserved.</w:t>
      </w:r>
    </w:p>
    <w:p>
      <w:pPr>
        <w:sectPr>
          <w:headerReference w:type="default" r:id="rId7"/>
          <w:headerReference w:type="first" r:id="rId8"/>
          <w:footerReference w:type="default" r:id="rId9"/>
          <w:footerReference w:type="first" r:id="rId10"/>
          <w:pgSz w:w="12240" w:h="15840" w:orient="portrait"/>
          <w:pgMar w:top="1080" w:right="1440" w:bottom="1080" w:left="1440" w:header="708" w:footer="708" w:gutter="0"/>
          <w:pgNumType/>
          <w:titlePg/>
          <w:docGrid w:linePitch="360"/>
        </w:sectPr>
      </w:pPr>
    </w:p>
    <w:p>
      <w:pPr>
        <w:keepNext/>
        <w:spacing w:after="160" w:before="400"/>
      </w:pPr>
      <w:r>
        <w:rPr>
          <w:rFonts w:ascii="Arial" w:cs="Arial" w:eastAsia="Arial" w:hAnsi="Arial"/>
          <w:b/>
          <w:bCs/>
          <w:color w:val="9B1B30"/>
          <w:sz w:val="38"/>
          <w:szCs w:val="38"/>
        </w:rPr>
        <w:t xml:space="preserve">Contents</w:t>
      </w:r>
    </w:p>
    <w:p>
      <w:pPr>
        <w:keepNext w:val="false"/>
        <w:spacing w:after="240" w:before="0" w:line="276"/>
        <w:jc w:val="left"/>
      </w:pPr>
      <w:r>
        <w:rPr>
          <w:rFonts w:ascii="Arial" w:cs="Arial" w:eastAsia="Arial" w:hAnsi="Arial"/>
          <w:b w:val="false"/>
          <w:bCs w:val="false"/>
          <w:i w:val="false"/>
          <w:iCs w:val="false"/>
          <w:color w:val="666666"/>
          <w:sz w:val="20"/>
          <w:szCs w:val="20"/>
        </w:rPr>
        <w:t xml:space="preserve">This specification consolidates the OCEL care-pathway modeling architecture and the 250-pathway modeling worklist into a single governed program document.</w:t>
      </w:r>
    </w:p>
    <w:p>
      <w:pPr>
        <w:tabs>
          <w:tab w:val="right" w:pos="9330" w:leader="dot"/>
        </w:tabs>
        <w:spacing w:after="20" w:before="140" w:line="260"/>
        <w:ind w:left="0"/>
      </w:pPr>
      <w:r>
        <w:rPr>
          <w:rFonts w:ascii="Arial" w:cs="Arial" w:eastAsia="Arial" w:hAnsi="Arial"/>
          <w:b/>
          <w:bCs/>
          <w:color w:val="9B1B30"/>
          <w:sz w:val="21"/>
          <w:szCs w:val="21"/>
        </w:rPr>
        <w:t xml:space="preserve">Part I — Program Context, Evidence, and Current State</w:t>
      </w:r>
      <w:r>
        <w:rPr>
          <w:rFonts w:ascii="Arial" w:cs="Arial" w:eastAsia="Arial" w:hAnsi="Arial"/>
          <w:color w:val="0E0E11"/>
          <w:sz w:val="20"/>
          <w:szCs w:val="20"/>
        </w:rPr>
        <w:t xml:space="preserve">	4</w:t>
      </w:r>
    </w:p>
    <w:p>
      <w:pPr>
        <w:tabs>
          <w:tab w:val="right" w:pos="9330" w:leader="dot"/>
        </w:tabs>
        <w:spacing w:after="20" w:before="20" w:line="260"/>
        <w:ind w:left="260"/>
      </w:pPr>
      <w:r>
        <w:rPr>
          <w:rFonts w:ascii="Arial" w:cs="Arial" w:eastAsia="Arial" w:hAnsi="Arial"/>
          <w:b w:val="false"/>
          <w:bCs w:val="false"/>
          <w:color w:val="0E0E11"/>
          <w:sz w:val="20"/>
          <w:szCs w:val="20"/>
        </w:rPr>
        <w:t xml:space="preserve">1.  Executive summary</w:t>
      </w:r>
      <w:r>
        <w:rPr>
          <w:rFonts w:ascii="Arial" w:cs="Arial" w:eastAsia="Arial" w:hAnsi="Arial"/>
          <w:color w:val="0E0E11"/>
          <w:sz w:val="20"/>
          <w:szCs w:val="20"/>
        </w:rPr>
        <w:t xml:space="preserve">	4</w:t>
      </w:r>
    </w:p>
    <w:p>
      <w:pPr>
        <w:tabs>
          <w:tab w:val="right" w:pos="9330" w:leader="dot"/>
        </w:tabs>
        <w:spacing w:after="20" w:before="20" w:line="260"/>
        <w:ind w:left="260"/>
      </w:pPr>
      <w:r>
        <w:rPr>
          <w:rFonts w:ascii="Arial" w:cs="Arial" w:eastAsia="Arial" w:hAnsi="Arial"/>
          <w:b w:val="false"/>
          <w:bCs w:val="false"/>
          <w:color w:val="0E0E11"/>
          <w:sz w:val="20"/>
          <w:szCs w:val="20"/>
        </w:rPr>
        <w:t xml:space="preserve">2.  Clinical and coding boundary</w:t>
      </w:r>
      <w:r>
        <w:rPr>
          <w:rFonts w:ascii="Arial" w:cs="Arial" w:eastAsia="Arial" w:hAnsi="Arial"/>
          <w:color w:val="0E0E11"/>
          <w:sz w:val="20"/>
          <w:szCs w:val="20"/>
        </w:rPr>
        <w:t xml:space="preserve">	5</w:t>
      </w:r>
    </w:p>
    <w:p>
      <w:pPr>
        <w:tabs>
          <w:tab w:val="right" w:pos="9330" w:leader="dot"/>
        </w:tabs>
        <w:spacing w:after="20" w:before="20" w:line="260"/>
        <w:ind w:left="260"/>
      </w:pPr>
      <w:r>
        <w:rPr>
          <w:rFonts w:ascii="Arial" w:cs="Arial" w:eastAsia="Arial" w:hAnsi="Arial"/>
          <w:b w:val="false"/>
          <w:bCs w:val="false"/>
          <w:color w:val="0E0E11"/>
          <w:sz w:val="20"/>
          <w:szCs w:val="20"/>
        </w:rPr>
        <w:t xml:space="preserve">3.  Evidence and verification performed</w:t>
      </w:r>
      <w:r>
        <w:rPr>
          <w:rFonts w:ascii="Arial" w:cs="Arial" w:eastAsia="Arial" w:hAnsi="Arial"/>
          <w:color w:val="0E0E11"/>
          <w:sz w:val="20"/>
          <w:szCs w:val="20"/>
        </w:rPr>
        <w:t xml:space="preserve">	6</w:t>
      </w:r>
    </w:p>
    <w:p>
      <w:pPr>
        <w:tabs>
          <w:tab w:val="right" w:pos="9330" w:leader="dot"/>
        </w:tabs>
        <w:spacing w:after="20" w:before="20" w:line="260"/>
        <w:ind w:left="260"/>
      </w:pPr>
      <w:r>
        <w:rPr>
          <w:rFonts w:ascii="Arial" w:cs="Arial" w:eastAsia="Arial" w:hAnsi="Arial"/>
          <w:b w:val="false"/>
          <w:bCs w:val="false"/>
          <w:color w:val="0E0E11"/>
          <w:sz w:val="20"/>
          <w:szCs w:val="20"/>
        </w:rPr>
        <w:t xml:space="preserve">4.  What the terminology expansion proves — and does not prove</w:t>
      </w:r>
      <w:r>
        <w:rPr>
          <w:rFonts w:ascii="Arial" w:cs="Arial" w:eastAsia="Arial" w:hAnsi="Arial"/>
          <w:color w:val="0E0E11"/>
          <w:sz w:val="20"/>
          <w:szCs w:val="20"/>
        </w:rPr>
        <w:t xml:space="preserve">	9</w:t>
      </w:r>
    </w:p>
    <w:p>
      <w:pPr>
        <w:tabs>
          <w:tab w:val="right" w:pos="9330" w:leader="dot"/>
        </w:tabs>
        <w:spacing w:after="20" w:before="20" w:line="260"/>
        <w:ind w:left="260"/>
      </w:pPr>
      <w:r>
        <w:rPr>
          <w:rFonts w:ascii="Arial" w:cs="Arial" w:eastAsia="Arial" w:hAnsi="Arial"/>
          <w:b w:val="false"/>
          <w:bCs w:val="false"/>
          <w:color w:val="0E0E11"/>
          <w:sz w:val="20"/>
          <w:szCs w:val="20"/>
        </w:rPr>
        <w:t xml:space="preserve">5.  Current-state gap analysis against the Zephyrus repository</w:t>
      </w:r>
      <w:r>
        <w:rPr>
          <w:rFonts w:ascii="Arial" w:cs="Arial" w:eastAsia="Arial" w:hAnsi="Arial"/>
          <w:color w:val="0E0E11"/>
          <w:sz w:val="20"/>
          <w:szCs w:val="20"/>
        </w:rPr>
        <w:t xml:space="preserve">	11</w:t>
      </w:r>
    </w:p>
    <w:p>
      <w:pPr>
        <w:tabs>
          <w:tab w:val="right" w:pos="9330" w:leader="dot"/>
        </w:tabs>
        <w:spacing w:after="20" w:before="140" w:line="260"/>
        <w:ind w:left="0"/>
      </w:pPr>
      <w:r>
        <w:rPr>
          <w:rFonts w:ascii="Arial" w:cs="Arial" w:eastAsia="Arial" w:hAnsi="Arial"/>
          <w:b/>
          <w:bCs/>
          <w:color w:val="9B1B30"/>
          <w:sz w:val="21"/>
          <w:szCs w:val="21"/>
        </w:rPr>
        <w:t xml:space="preserve">Part II — Target Architecture</w:t>
      </w:r>
      <w:r>
        <w:rPr>
          <w:rFonts w:ascii="Arial" w:cs="Arial" w:eastAsia="Arial" w:hAnsi="Arial"/>
          <w:color w:val="0E0E11"/>
          <w:sz w:val="20"/>
          <w:szCs w:val="20"/>
        </w:rPr>
        <w:t xml:space="preserve">	13</w:t>
      </w:r>
    </w:p>
    <w:p>
      <w:pPr>
        <w:tabs>
          <w:tab w:val="right" w:pos="9330" w:leader="dot"/>
        </w:tabs>
        <w:spacing w:after="20" w:before="20" w:line="260"/>
        <w:ind w:left="260"/>
      </w:pPr>
      <w:r>
        <w:rPr>
          <w:rFonts w:ascii="Arial" w:cs="Arial" w:eastAsia="Arial" w:hAnsi="Arial"/>
          <w:b w:val="false"/>
          <w:bCs w:val="false"/>
          <w:color w:val="0E0E11"/>
          <w:sz w:val="20"/>
          <w:szCs w:val="20"/>
        </w:rPr>
        <w:t xml:space="preserve">6.  The central modeling decision</w:t>
      </w:r>
      <w:r>
        <w:rPr>
          <w:rFonts w:ascii="Arial" w:cs="Arial" w:eastAsia="Arial" w:hAnsi="Arial"/>
          <w:color w:val="0E0E11"/>
          <w:sz w:val="20"/>
          <w:szCs w:val="20"/>
        </w:rPr>
        <w:t xml:space="preserve">	13</w:t>
      </w:r>
    </w:p>
    <w:p>
      <w:pPr>
        <w:tabs>
          <w:tab w:val="right" w:pos="9330" w:leader="dot"/>
        </w:tabs>
        <w:spacing w:after="20" w:before="20" w:line="260"/>
        <w:ind w:left="260"/>
      </w:pPr>
      <w:r>
        <w:rPr>
          <w:rFonts w:ascii="Arial" w:cs="Arial" w:eastAsia="Arial" w:hAnsi="Arial"/>
          <w:b w:val="false"/>
          <w:bCs w:val="false"/>
          <w:color w:val="0E0E11"/>
          <w:sz w:val="20"/>
          <w:szCs w:val="20"/>
        </w:rPr>
        <w:t xml:space="preserve">7.  The pathway package</w:t>
      </w:r>
      <w:r>
        <w:rPr>
          <w:rFonts w:ascii="Arial" w:cs="Arial" w:eastAsia="Arial" w:hAnsi="Arial"/>
          <w:color w:val="0E0E11"/>
          <w:sz w:val="20"/>
          <w:szCs w:val="20"/>
        </w:rPr>
        <w:t xml:space="preserve">	14</w:t>
      </w:r>
    </w:p>
    <w:p>
      <w:pPr>
        <w:tabs>
          <w:tab w:val="right" w:pos="9330" w:leader="dot"/>
        </w:tabs>
        <w:spacing w:after="20" w:before="20" w:line="260"/>
        <w:ind w:left="260"/>
      </w:pPr>
      <w:r>
        <w:rPr>
          <w:rFonts w:ascii="Arial" w:cs="Arial" w:eastAsia="Arial" w:hAnsi="Arial"/>
          <w:b w:val="false"/>
          <w:bCs w:val="false"/>
          <w:color w:val="0E0E11"/>
          <w:sz w:val="20"/>
          <w:szCs w:val="20"/>
        </w:rPr>
        <w:t xml:space="preserve">8.  Mapping the supplied pathway fields into a computable package</w:t>
      </w:r>
      <w:r>
        <w:rPr>
          <w:rFonts w:ascii="Arial" w:cs="Arial" w:eastAsia="Arial" w:hAnsi="Arial"/>
          <w:color w:val="0E0E11"/>
          <w:sz w:val="20"/>
          <w:szCs w:val="20"/>
        </w:rPr>
        <w:t xml:space="preserve">	18</w:t>
      </w:r>
    </w:p>
    <w:p>
      <w:pPr>
        <w:tabs>
          <w:tab w:val="right" w:pos="9330" w:leader="dot"/>
        </w:tabs>
        <w:spacing w:after="20" w:before="20" w:line="260"/>
        <w:ind w:left="260"/>
      </w:pPr>
      <w:r>
        <w:rPr>
          <w:rFonts w:ascii="Arial" w:cs="Arial" w:eastAsia="Arial" w:hAnsi="Arial"/>
          <w:b w:val="false"/>
          <w:bCs w:val="false"/>
          <w:color w:val="0E0E11"/>
          <w:sz w:val="20"/>
          <w:szCs w:val="20"/>
        </w:rPr>
        <w:t xml:space="preserve">9.  Enterprise OCEL object and event model</w:t>
      </w:r>
      <w:r>
        <w:rPr>
          <w:rFonts w:ascii="Arial" w:cs="Arial" w:eastAsia="Arial" w:hAnsi="Arial"/>
          <w:color w:val="0E0E11"/>
          <w:sz w:val="20"/>
          <w:szCs w:val="20"/>
        </w:rPr>
        <w:t xml:space="preserve">	19</w:t>
      </w:r>
    </w:p>
    <w:p>
      <w:pPr>
        <w:tabs>
          <w:tab w:val="right" w:pos="9330" w:leader="dot"/>
        </w:tabs>
        <w:spacing w:after="20" w:before="140" w:line="260"/>
        <w:ind w:left="0"/>
      </w:pPr>
      <w:r>
        <w:rPr>
          <w:rFonts w:ascii="Arial" w:cs="Arial" w:eastAsia="Arial" w:hAnsi="Arial"/>
          <w:b/>
          <w:bCs/>
          <w:color w:val="9B1B30"/>
          <w:sz w:val="21"/>
          <w:szCs w:val="21"/>
        </w:rPr>
        <w:t xml:space="preserve">Part III — Patient Measurement, Ledger, and Analysis</w:t>
      </w:r>
      <w:r>
        <w:rPr>
          <w:rFonts w:ascii="Arial" w:cs="Arial" w:eastAsia="Arial" w:hAnsi="Arial"/>
          <w:color w:val="0E0E11"/>
          <w:sz w:val="20"/>
          <w:szCs w:val="20"/>
        </w:rPr>
        <w:t xml:space="preserve">	22</w:t>
      </w:r>
    </w:p>
    <w:p>
      <w:pPr>
        <w:tabs>
          <w:tab w:val="right" w:pos="9330" w:leader="dot"/>
        </w:tabs>
        <w:spacing w:after="20" w:before="20" w:line="260"/>
        <w:ind w:left="260"/>
      </w:pPr>
      <w:r>
        <w:rPr>
          <w:rFonts w:ascii="Arial" w:cs="Arial" w:eastAsia="Arial" w:hAnsi="Arial"/>
          <w:b w:val="false"/>
          <w:bCs w:val="false"/>
          <w:color w:val="0E0E11"/>
          <w:sz w:val="20"/>
          <w:szCs w:val="20"/>
        </w:rPr>
        <w:t xml:space="preserve">10.  Patient–pathway measurement lifecycle</w:t>
      </w:r>
      <w:r>
        <w:rPr>
          <w:rFonts w:ascii="Arial" w:cs="Arial" w:eastAsia="Arial" w:hAnsi="Arial"/>
          <w:color w:val="0E0E11"/>
          <w:sz w:val="20"/>
          <w:szCs w:val="20"/>
        </w:rPr>
        <w:t xml:space="preserve">	22</w:t>
      </w:r>
    </w:p>
    <w:p>
      <w:pPr>
        <w:tabs>
          <w:tab w:val="right" w:pos="9330" w:leader="dot"/>
        </w:tabs>
        <w:spacing w:after="20" w:before="20" w:line="260"/>
        <w:ind w:left="260"/>
      </w:pPr>
      <w:r>
        <w:rPr>
          <w:rFonts w:ascii="Arial" w:cs="Arial" w:eastAsia="Arial" w:hAnsi="Arial"/>
          <w:b w:val="false"/>
          <w:bCs w:val="false"/>
          <w:color w:val="0E0E11"/>
          <w:sz w:val="20"/>
          <w:szCs w:val="20"/>
        </w:rPr>
        <w:t xml:space="preserve">11.  Durable measurement ledger</w:t>
      </w:r>
      <w:r>
        <w:rPr>
          <w:rFonts w:ascii="Arial" w:cs="Arial" w:eastAsia="Arial" w:hAnsi="Arial"/>
          <w:color w:val="0E0E11"/>
          <w:sz w:val="20"/>
          <w:szCs w:val="20"/>
        </w:rPr>
        <w:t xml:space="preserve">	25</w:t>
      </w:r>
    </w:p>
    <w:p>
      <w:pPr>
        <w:tabs>
          <w:tab w:val="right" w:pos="9330" w:leader="dot"/>
        </w:tabs>
        <w:spacing w:after="20" w:before="20" w:line="260"/>
        <w:ind w:left="260"/>
      </w:pPr>
      <w:r>
        <w:rPr>
          <w:rFonts w:ascii="Arial" w:cs="Arial" w:eastAsia="Arial" w:hAnsi="Arial"/>
          <w:b w:val="false"/>
          <w:bCs w:val="false"/>
          <w:color w:val="0E0E11"/>
          <w:sz w:val="20"/>
          <w:szCs w:val="20"/>
        </w:rPr>
        <w:t xml:space="preserve">12.  Measurement framework by problem type</w:t>
      </w:r>
      <w:r>
        <w:rPr>
          <w:rFonts w:ascii="Arial" w:cs="Arial" w:eastAsia="Arial" w:hAnsi="Arial"/>
          <w:color w:val="0E0E11"/>
          <w:sz w:val="20"/>
          <w:szCs w:val="20"/>
        </w:rPr>
        <w:t xml:space="preserve">	27</w:t>
      </w:r>
    </w:p>
    <w:p>
      <w:pPr>
        <w:tabs>
          <w:tab w:val="right" w:pos="9330" w:leader="dot"/>
        </w:tabs>
        <w:spacing w:after="20" w:before="20" w:line="260"/>
        <w:ind w:left="260"/>
      </w:pPr>
      <w:r>
        <w:rPr>
          <w:rFonts w:ascii="Arial" w:cs="Arial" w:eastAsia="Arial" w:hAnsi="Arial"/>
          <w:b w:val="false"/>
          <w:bCs w:val="false"/>
          <w:color w:val="0E0E11"/>
          <w:sz w:val="20"/>
          <w:szCs w:val="20"/>
        </w:rPr>
        <w:t xml:space="preserve">13.  Conformance strategy</w:t>
      </w:r>
      <w:r>
        <w:rPr>
          <w:rFonts w:ascii="Arial" w:cs="Arial" w:eastAsia="Arial" w:hAnsi="Arial"/>
          <w:color w:val="0E0E11"/>
          <w:sz w:val="20"/>
          <w:szCs w:val="20"/>
        </w:rPr>
        <w:t xml:space="preserve">	30</w:t>
      </w:r>
    </w:p>
    <w:p>
      <w:pPr>
        <w:tabs>
          <w:tab w:val="right" w:pos="9330" w:leader="dot"/>
        </w:tabs>
        <w:spacing w:after="20" w:before="20" w:line="260"/>
        <w:ind w:left="260"/>
      </w:pPr>
      <w:r>
        <w:rPr>
          <w:rFonts w:ascii="Arial" w:cs="Arial" w:eastAsia="Arial" w:hAnsi="Arial"/>
          <w:b w:val="false"/>
          <w:bCs w:val="false"/>
          <w:color w:val="0E0E11"/>
          <w:sz w:val="20"/>
          <w:szCs w:val="20"/>
        </w:rPr>
        <w:t xml:space="preserve">14.  Data quality and confidence</w:t>
      </w:r>
      <w:r>
        <w:rPr>
          <w:rFonts w:ascii="Arial" w:cs="Arial" w:eastAsia="Arial" w:hAnsi="Arial"/>
          <w:color w:val="0E0E11"/>
          <w:sz w:val="20"/>
          <w:szCs w:val="20"/>
        </w:rPr>
        <w:t xml:space="preserve">	31</w:t>
      </w:r>
    </w:p>
    <w:p>
      <w:pPr>
        <w:tabs>
          <w:tab w:val="right" w:pos="9330" w:leader="dot"/>
        </w:tabs>
        <w:spacing w:after="20" w:before="140" w:line="260"/>
        <w:ind w:left="0"/>
      </w:pPr>
      <w:r>
        <w:rPr>
          <w:rFonts w:ascii="Arial" w:cs="Arial" w:eastAsia="Arial" w:hAnsi="Arial"/>
          <w:b/>
          <w:bCs/>
          <w:color w:val="9B1B30"/>
          <w:sz w:val="21"/>
          <w:szCs w:val="21"/>
        </w:rPr>
        <w:t xml:space="preserve">Part IV — Validation, Governance, and a Worked Example</w:t>
      </w:r>
      <w:r>
        <w:rPr>
          <w:rFonts w:ascii="Arial" w:cs="Arial" w:eastAsia="Arial" w:hAnsi="Arial"/>
          <w:color w:val="0E0E11"/>
          <w:sz w:val="20"/>
          <w:szCs w:val="20"/>
        </w:rPr>
        <w:t xml:space="preserve">	32</w:t>
      </w:r>
    </w:p>
    <w:p>
      <w:pPr>
        <w:tabs>
          <w:tab w:val="right" w:pos="9330" w:leader="dot"/>
        </w:tabs>
        <w:spacing w:after="20" w:before="20" w:line="260"/>
        <w:ind w:left="260"/>
      </w:pPr>
      <w:r>
        <w:rPr>
          <w:rFonts w:ascii="Arial" w:cs="Arial" w:eastAsia="Arial" w:hAnsi="Arial"/>
          <w:b w:val="false"/>
          <w:bCs w:val="false"/>
          <w:color w:val="0E0E11"/>
          <w:sz w:val="20"/>
          <w:szCs w:val="20"/>
        </w:rPr>
        <w:t xml:space="preserve">15.  Clinical validation and measure testing</w:t>
      </w:r>
      <w:r>
        <w:rPr>
          <w:rFonts w:ascii="Arial" w:cs="Arial" w:eastAsia="Arial" w:hAnsi="Arial"/>
          <w:color w:val="0E0E11"/>
          <w:sz w:val="20"/>
          <w:szCs w:val="20"/>
        </w:rPr>
        <w:t xml:space="preserve">	32</w:t>
      </w:r>
    </w:p>
    <w:p>
      <w:pPr>
        <w:tabs>
          <w:tab w:val="right" w:pos="9330" w:leader="dot"/>
        </w:tabs>
        <w:spacing w:after="20" w:before="20" w:line="260"/>
        <w:ind w:left="260"/>
      </w:pPr>
      <w:r>
        <w:rPr>
          <w:rFonts w:ascii="Arial" w:cs="Arial" w:eastAsia="Arial" w:hAnsi="Arial"/>
          <w:b w:val="false"/>
          <w:bCs w:val="false"/>
          <w:color w:val="0E0E11"/>
          <w:sz w:val="20"/>
          <w:szCs w:val="20"/>
        </w:rPr>
        <w:t xml:space="preserve">16.  Governance, safety, privacy, and fairness</w:t>
      </w:r>
      <w:r>
        <w:rPr>
          <w:rFonts w:ascii="Arial" w:cs="Arial" w:eastAsia="Arial" w:hAnsi="Arial"/>
          <w:color w:val="0E0E11"/>
          <w:sz w:val="20"/>
          <w:szCs w:val="20"/>
        </w:rPr>
        <w:t xml:space="preserve">	34</w:t>
      </w:r>
    </w:p>
    <w:p>
      <w:pPr>
        <w:tabs>
          <w:tab w:val="right" w:pos="9330" w:leader="dot"/>
        </w:tabs>
        <w:spacing w:after="20" w:before="20" w:line="260"/>
        <w:ind w:left="260"/>
      </w:pPr>
      <w:r>
        <w:rPr>
          <w:rFonts w:ascii="Arial" w:cs="Arial" w:eastAsia="Arial" w:hAnsi="Arial"/>
          <w:b w:val="false"/>
          <w:bCs w:val="false"/>
          <w:color w:val="0E0E11"/>
          <w:sz w:val="20"/>
          <w:szCs w:val="20"/>
        </w:rPr>
        <w:t xml:space="preserve">17.  Worked example: one pathway end to end</w:t>
      </w:r>
      <w:r>
        <w:rPr>
          <w:rFonts w:ascii="Arial" w:cs="Arial" w:eastAsia="Arial" w:hAnsi="Arial"/>
          <w:color w:val="0E0E11"/>
          <w:sz w:val="20"/>
          <w:szCs w:val="20"/>
        </w:rPr>
        <w:t xml:space="preserve">	35</w:t>
      </w:r>
    </w:p>
    <w:p>
      <w:pPr>
        <w:tabs>
          <w:tab w:val="right" w:pos="9330" w:leader="dot"/>
        </w:tabs>
        <w:spacing w:after="20" w:before="140" w:line="260"/>
        <w:ind w:left="0"/>
      </w:pPr>
      <w:r>
        <w:rPr>
          <w:rFonts w:ascii="Arial" w:cs="Arial" w:eastAsia="Arial" w:hAnsi="Arial"/>
          <w:b/>
          <w:bCs/>
          <w:color w:val="9B1B30"/>
          <w:sz w:val="21"/>
          <w:szCs w:val="21"/>
        </w:rPr>
        <w:t xml:space="preserve">Part V — Execution: Sequencing, Roadmap, Decisions, and Risk</w:t>
      </w:r>
      <w:r>
        <w:rPr>
          <w:rFonts w:ascii="Arial" w:cs="Arial" w:eastAsia="Arial" w:hAnsi="Arial"/>
          <w:color w:val="0E0E11"/>
          <w:sz w:val="20"/>
          <w:szCs w:val="20"/>
        </w:rPr>
        <w:t xml:space="preserve">	37</w:t>
      </w:r>
    </w:p>
    <w:p>
      <w:pPr>
        <w:tabs>
          <w:tab w:val="right" w:pos="9330" w:leader="dot"/>
        </w:tabs>
        <w:spacing w:after="20" w:before="20" w:line="260"/>
        <w:ind w:left="260"/>
      </w:pPr>
      <w:r>
        <w:rPr>
          <w:rFonts w:ascii="Arial" w:cs="Arial" w:eastAsia="Arial" w:hAnsi="Arial"/>
          <w:b w:val="false"/>
          <w:bCs w:val="false"/>
          <w:color w:val="0E0E11"/>
          <w:sz w:val="20"/>
          <w:szCs w:val="20"/>
        </w:rPr>
        <w:t xml:space="preserve">18.  Work sequencing across all 250 pathways</w:t>
      </w:r>
      <w:r>
        <w:rPr>
          <w:rFonts w:ascii="Arial" w:cs="Arial" w:eastAsia="Arial" w:hAnsi="Arial"/>
          <w:color w:val="0E0E11"/>
          <w:sz w:val="20"/>
          <w:szCs w:val="20"/>
        </w:rPr>
        <w:t xml:space="preserve">	37</w:t>
      </w:r>
    </w:p>
    <w:p>
      <w:pPr>
        <w:tabs>
          <w:tab w:val="right" w:pos="9330" w:leader="dot"/>
        </w:tabs>
        <w:spacing w:after="20" w:before="20" w:line="260"/>
        <w:ind w:left="260"/>
      </w:pPr>
      <w:r>
        <w:rPr>
          <w:rFonts w:ascii="Arial" w:cs="Arial" w:eastAsia="Arial" w:hAnsi="Arial"/>
          <w:b w:val="false"/>
          <w:bCs w:val="false"/>
          <w:color w:val="0E0E11"/>
          <w:sz w:val="20"/>
          <w:szCs w:val="20"/>
        </w:rPr>
        <w:t xml:space="preserve">19.  Implementation roadmap</w:t>
      </w:r>
      <w:r>
        <w:rPr>
          <w:rFonts w:ascii="Arial" w:cs="Arial" w:eastAsia="Arial" w:hAnsi="Arial"/>
          <w:color w:val="0E0E11"/>
          <w:sz w:val="20"/>
          <w:szCs w:val="20"/>
        </w:rPr>
        <w:t xml:space="preserve">	39</w:t>
      </w:r>
    </w:p>
    <w:p>
      <w:pPr>
        <w:tabs>
          <w:tab w:val="right" w:pos="9330" w:leader="dot"/>
        </w:tabs>
        <w:spacing w:after="20" w:before="20" w:line="260"/>
        <w:ind w:left="260"/>
      </w:pPr>
      <w:r>
        <w:rPr>
          <w:rFonts w:ascii="Arial" w:cs="Arial" w:eastAsia="Arial" w:hAnsi="Arial"/>
          <w:b w:val="false"/>
          <w:bCs w:val="false"/>
          <w:color w:val="0E0E11"/>
          <w:sz w:val="20"/>
          <w:szCs w:val="20"/>
        </w:rPr>
        <w:t xml:space="preserve">20.  Decisions required before implementation</w:t>
      </w:r>
      <w:r>
        <w:rPr>
          <w:rFonts w:ascii="Arial" w:cs="Arial" w:eastAsia="Arial" w:hAnsi="Arial"/>
          <w:color w:val="0E0E11"/>
          <w:sz w:val="20"/>
          <w:szCs w:val="20"/>
        </w:rPr>
        <w:t xml:space="preserve">	43</w:t>
      </w:r>
    </w:p>
    <w:p>
      <w:pPr>
        <w:tabs>
          <w:tab w:val="right" w:pos="9330" w:leader="dot"/>
        </w:tabs>
        <w:spacing w:after="20" w:before="20" w:line="260"/>
        <w:ind w:left="260"/>
      </w:pPr>
      <w:r>
        <w:rPr>
          <w:rFonts w:ascii="Arial" w:cs="Arial" w:eastAsia="Arial" w:hAnsi="Arial"/>
          <w:b w:val="false"/>
          <w:bCs w:val="false"/>
          <w:color w:val="0E0E11"/>
          <w:sz w:val="20"/>
          <w:szCs w:val="20"/>
        </w:rPr>
        <w:t xml:space="preserve">21.  Definition of done for one pathway</w:t>
      </w:r>
      <w:r>
        <w:rPr>
          <w:rFonts w:ascii="Arial" w:cs="Arial" w:eastAsia="Arial" w:hAnsi="Arial"/>
          <w:color w:val="0E0E11"/>
          <w:sz w:val="20"/>
          <w:szCs w:val="20"/>
        </w:rPr>
        <w:t xml:space="preserve">	43</w:t>
      </w:r>
    </w:p>
    <w:p>
      <w:pPr>
        <w:tabs>
          <w:tab w:val="right" w:pos="9330" w:leader="dot"/>
        </w:tabs>
        <w:spacing w:after="20" w:before="20" w:line="260"/>
        <w:ind w:left="260"/>
      </w:pPr>
      <w:r>
        <w:rPr>
          <w:rFonts w:ascii="Arial" w:cs="Arial" w:eastAsia="Arial" w:hAnsi="Arial"/>
          <w:b w:val="false"/>
          <w:bCs w:val="false"/>
          <w:color w:val="0E0E11"/>
          <w:sz w:val="20"/>
          <w:szCs w:val="20"/>
        </w:rPr>
        <w:t xml:space="preserve">22.  Programme risk register</w:t>
      </w:r>
      <w:r>
        <w:rPr>
          <w:rFonts w:ascii="Arial" w:cs="Arial" w:eastAsia="Arial" w:hAnsi="Arial"/>
          <w:color w:val="0E0E11"/>
          <w:sz w:val="20"/>
          <w:szCs w:val="20"/>
        </w:rPr>
        <w:t xml:space="preserve">	45</w:t>
      </w:r>
    </w:p>
    <w:p>
      <w:pPr>
        <w:tabs>
          <w:tab w:val="right" w:pos="9330" w:leader="dot"/>
        </w:tabs>
        <w:spacing w:after="20" w:before="20" w:line="260"/>
        <w:ind w:left="260"/>
      </w:pPr>
      <w:r>
        <w:rPr>
          <w:rFonts w:ascii="Arial" w:cs="Arial" w:eastAsia="Arial" w:hAnsi="Arial"/>
          <w:b w:val="false"/>
          <w:bCs w:val="false"/>
          <w:color w:val="0E0E11"/>
          <w:sz w:val="20"/>
          <w:szCs w:val="20"/>
        </w:rPr>
        <w:t xml:space="preserve">23.  Final recommendation</w:t>
      </w:r>
      <w:r>
        <w:rPr>
          <w:rFonts w:ascii="Arial" w:cs="Arial" w:eastAsia="Arial" w:hAnsi="Arial"/>
          <w:color w:val="0E0E11"/>
          <w:sz w:val="20"/>
          <w:szCs w:val="20"/>
        </w:rPr>
        <w:t xml:space="preserve">	45</w:t>
      </w:r>
    </w:p>
    <w:p>
      <w:pPr>
        <w:tabs>
          <w:tab w:val="right" w:pos="9330" w:leader="dot"/>
        </w:tabs>
        <w:spacing w:after="20" w:before="140" w:line="260"/>
        <w:ind w:left="0"/>
      </w:pPr>
      <w:r>
        <w:rPr>
          <w:rFonts w:ascii="Arial" w:cs="Arial" w:eastAsia="Arial" w:hAnsi="Arial"/>
          <w:b/>
          <w:bCs/>
          <w:color w:val="9B1B30"/>
          <w:sz w:val="21"/>
          <w:szCs w:val="21"/>
        </w:rPr>
        <w:t xml:space="preserve">Part VI — Appendices</w:t>
      </w:r>
      <w:r>
        <w:rPr>
          <w:rFonts w:ascii="Arial" w:cs="Arial" w:eastAsia="Arial" w:hAnsi="Arial"/>
          <w:color w:val="0E0E11"/>
          <w:sz w:val="20"/>
          <w:szCs w:val="20"/>
        </w:rPr>
        <w:t xml:space="preserve">	46</w:t>
      </w:r>
    </w:p>
    <w:p>
      <w:pPr>
        <w:tabs>
          <w:tab w:val="right" w:pos="9330" w:leader="dot"/>
        </w:tabs>
        <w:spacing w:after="20" w:before="20" w:line="260"/>
        <w:ind w:left="260"/>
      </w:pPr>
      <w:r>
        <w:rPr>
          <w:rFonts w:ascii="Arial" w:cs="Arial" w:eastAsia="Arial" w:hAnsi="Arial"/>
          <w:b w:val="false"/>
          <w:bCs w:val="false"/>
          <w:color w:val="0E0E11"/>
          <w:sz w:val="20"/>
          <w:szCs w:val="20"/>
        </w:rPr>
        <w:t xml:space="preserve">Appendix A — 250-pathway modeling worklist</w:t>
      </w:r>
      <w:r>
        <w:rPr>
          <w:rFonts w:ascii="Arial" w:cs="Arial" w:eastAsia="Arial" w:hAnsi="Arial"/>
          <w:color w:val="0E0E11"/>
          <w:sz w:val="20"/>
          <w:szCs w:val="20"/>
        </w:rPr>
        <w:t xml:space="preserve">	46</w:t>
      </w:r>
    </w:p>
    <w:p>
      <w:pPr>
        <w:tabs>
          <w:tab w:val="right" w:pos="9330" w:leader="dot"/>
        </w:tabs>
        <w:spacing w:after="20" w:before="20" w:line="260"/>
        <w:ind w:left="260"/>
      </w:pPr>
      <w:r>
        <w:rPr>
          <w:rFonts w:ascii="Arial" w:cs="Arial" w:eastAsia="Arial" w:hAnsi="Arial"/>
          <w:b w:val="false"/>
          <w:bCs w:val="false"/>
          <w:color w:val="0E0E11"/>
          <w:sz w:val="20"/>
          <w:szCs w:val="20"/>
        </w:rPr>
        <w:t xml:space="preserve">Appendix B — Catalog distribution</w:t>
      </w:r>
      <w:r>
        <w:rPr>
          <w:rFonts w:ascii="Arial" w:cs="Arial" w:eastAsia="Arial" w:hAnsi="Arial"/>
          <w:color w:val="0E0E11"/>
          <w:sz w:val="20"/>
          <w:szCs w:val="20"/>
        </w:rPr>
        <w:t xml:space="preserve">	58</w:t>
      </w:r>
    </w:p>
    <w:p>
      <w:pPr>
        <w:tabs>
          <w:tab w:val="right" w:pos="9330" w:leader="dot"/>
        </w:tabs>
        <w:spacing w:after="20" w:before="20" w:line="260"/>
        <w:ind w:left="260"/>
      </w:pPr>
      <w:r>
        <w:rPr>
          <w:rFonts w:ascii="Arial" w:cs="Arial" w:eastAsia="Arial" w:hAnsi="Arial"/>
          <w:b w:val="false"/>
          <w:bCs w:val="false"/>
          <w:color w:val="0E0E11"/>
          <w:sz w:val="20"/>
          <w:szCs w:val="20"/>
        </w:rPr>
        <w:t xml:space="preserve">Appendix C — Research standards and interoperability references</w:t>
      </w:r>
      <w:r>
        <w:rPr>
          <w:rFonts w:ascii="Arial" w:cs="Arial" w:eastAsia="Arial" w:hAnsi="Arial"/>
          <w:color w:val="0E0E11"/>
          <w:sz w:val="20"/>
          <w:szCs w:val="20"/>
        </w:rPr>
        <w:t xml:space="preserve">	58</w:t>
      </w:r>
    </w:p>
    <w:p>
      <w:pPr>
        <w:tabs>
          <w:tab w:val="right" w:pos="9330" w:leader="dot"/>
        </w:tabs>
        <w:spacing w:after="20" w:before="20" w:line="260"/>
        <w:ind w:left="260"/>
      </w:pPr>
      <w:r>
        <w:rPr>
          <w:rFonts w:ascii="Arial" w:cs="Arial" w:eastAsia="Arial" w:hAnsi="Arial"/>
          <w:b w:val="false"/>
          <w:bCs w:val="false"/>
          <w:color w:val="0E0E11"/>
          <w:sz w:val="20"/>
          <w:szCs w:val="20"/>
        </w:rPr>
        <w:t xml:space="preserve">Appendix D — Glossary of program terms</w:t>
      </w:r>
      <w:r>
        <w:rPr>
          <w:rFonts w:ascii="Arial" w:cs="Arial" w:eastAsia="Arial" w:hAnsi="Arial"/>
          <w:color w:val="0E0E11"/>
          <w:sz w:val="20"/>
          <w:szCs w:val="20"/>
        </w:rPr>
        <w:t xml:space="preserve">	59</w:t>
      </w:r>
    </w:p>
    <w:p>
      <w:pPr>
        <w:spacing w:after="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563EB" w:sz="24"/>
              <w:bottom w:val="none" w:color="FFFFFF" w:sz="0"/>
              <w:right w:val="none" w:color="FFFFFF" w:sz="0"/>
            </w:tcBorders>
            <w:shd w:fill="EFF4FE"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Scope and status</w:t>
            </w:r>
          </w:p>
          <w:p>
            <w:pPr>
              <w:spacing w:after="60" w:line="264"/>
            </w:pPr>
            <w:r>
              <w:rPr>
                <w:rFonts w:ascii="Arial" w:cs="Arial" w:eastAsia="Arial" w:hAnsi="Arial"/>
                <w:color w:val="0E0E11"/>
                <w:sz w:val="20"/>
                <w:szCs w:val="20"/>
              </w:rPr>
              <w:t xml:space="preserve">Companion sources: the OCEL individual care-pathway modeling and measurement research report and the 250-pathway modeling worklist, both dated 2026-07-24, together with the prior OCEL care-pathway measurement and root-cause architecture dated 2026-07-21.</w:t>
            </w:r>
          </w:p>
          <w:p>
            <w:pPr>
              <w:spacing w:after="60" w:line="264"/>
            </w:pPr>
            <w:r>
              <w:rPr>
                <w:rFonts w:ascii="Arial" w:cs="Arial" w:eastAsia="Arial" w:hAnsi="Arial"/>
                <w:color w:val="0E0E11"/>
                <w:sz w:val="20"/>
                <w:szCs w:val="20"/>
              </w:rPr>
              <w:t xml:space="preserve">Status: technical program specification. No content in this document constitutes clinical approval, a coding directive, or an order set.</w:t>
            </w:r>
          </w:p>
        </w:tc>
      </w:tr>
    </w:tbl>
    <w:p>
      <w:r>
        <w:br w:type="page"/>
      </w:r>
    </w:p>
    <w:p>
      <w:pPr>
        <w:pBdr>
          <w:bottom w:val="single" w:color="C9A227" w:sz="12" w:space="6"/>
        </w:pBdr>
        <w:spacing w:after="60" w:before="480"/>
      </w:pPr>
      <w:r>
        <w:rPr>
          <w:rFonts w:ascii="Arial" w:cs="Arial" w:eastAsia="Arial" w:hAnsi="Arial"/>
          <w:b/>
          <w:bCs/>
          <w:color w:val="C9A227"/>
          <w:spacing w:val="120"/>
          <w:sz w:val="19"/>
          <w:szCs w:val="19"/>
        </w:rPr>
        <w:t xml:space="preserve">PART I — PROGRAM CONTEXT, EVIDENCE, AND CURRENT STATE</w:t>
      </w:r>
    </w:p>
    <w:p>
      <w:pPr>
        <w:spacing w:after="120"/>
      </w:pPr>
    </w:p>
    <w:p>
      <w:pPr>
        <w:keepNext/>
        <w:spacing w:after="160" w:before="400"/>
      </w:pPr>
      <w:r>
        <w:rPr>
          <w:rFonts w:ascii="Arial" w:cs="Arial" w:eastAsia="Arial" w:hAnsi="Arial"/>
          <w:b/>
          <w:bCs/>
          <w:color w:val="9B1B30"/>
          <w:sz w:val="38"/>
          <w:szCs w:val="38"/>
        </w:rPr>
        <w:t xml:space="preserve">1. Executive summary</w:t>
      </w:r>
    </w:p>
    <w:p>
      <w:pPr>
        <w:keepNext w:val="false"/>
        <w:spacing w:after="120" w:before="0" w:line="276"/>
        <w:jc w:val="left"/>
      </w:pPr>
      <w:r>
        <w:rPr>
          <w:rFonts w:ascii="Arial" w:cs="Arial" w:eastAsia="Arial" w:hAnsi="Arial"/>
          <w:b w:val="false"/>
          <w:bCs w:val="false"/>
          <w:i w:val="false"/>
          <w:iCs w:val="false"/>
          <w:color w:val="0E0E11"/>
          <w:sz w:val="22"/>
          <w:szCs w:val="22"/>
        </w:rPr>
        <w:t xml:space="preserve">Zephyrus holds a governed research catalog of 250 DRG-anchored care pathways. The question this specification answers is what must be built so that those pathways can be measured against what actually happened to individual patients — safely, reproducibly, and with claims that stay proportional to the evidence.</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answer is not "import 250 rows." Two architectural conclusions govern everything that follows.</w:t>
      </w:r>
    </w:p>
    <w:p>
      <w:pPr>
        <w:keepNext w:val="false"/>
        <w:spacing w:after="120" w:before="0" w:line="276"/>
        <w:jc w:val="left"/>
      </w:pPr>
      <w:r>
        <w:rPr>
          <w:rFonts w:ascii="Arial" w:cs="Arial" w:eastAsia="Arial" w:hAnsi="Arial"/>
          <w:b/>
          <w:bCs/>
          <w:i w:val="false"/>
          <w:iCs w:val="false"/>
          <w:color w:val="0E0E11"/>
          <w:sz w:val="22"/>
          <w:szCs w:val="22"/>
        </w:rPr>
        <w:t xml:space="preserve">First: Zephyrus must not create 250 independent event logs.</w:t>
      </w:r>
      <w:r>
        <w:rPr>
          <w:rFonts w:ascii="Arial" w:cs="Arial" w:eastAsia="Arial" w:hAnsi="Arial"/>
          <w:color w:val="0E0E11"/>
          <w:sz w:val="22"/>
          <w:szCs w:val="22"/>
        </w:rPr>
        <w:t xml:space="preserve"> A single patient can be governed by several pathways at once, and one clinical event can serve several of them. A creatinine result is simultaneously relevant to acute kidney injury, sepsis, medication safety, and perioperative management. Duplicating that event into pathway-scoped logs produces inconsistent corrections, conflicting patient identities, duplicate lineage, brittle cross-pathway analysis, artificial case boundaries, expensive reprocessing, and no defensible answer to the question "which copy is authoritative?"</w:t>
      </w:r>
    </w:p>
    <w:p>
      <w:pPr>
        <w:keepNext w:val="false"/>
        <w:spacing w:after="120" w:before="0" w:line="276"/>
        <w:jc w:val="left"/>
      </w:pPr>
      <w:r>
        <w:rPr>
          <w:rFonts w:ascii="Arial" w:cs="Arial" w:eastAsia="Arial" w:hAnsi="Arial"/>
          <w:b/>
          <w:bCs/>
          <w:i w:val="false"/>
          <w:iCs w:val="false"/>
          <w:color w:val="0E0E11"/>
          <w:sz w:val="22"/>
          <w:szCs w:val="22"/>
        </w:rPr>
        <w:t xml:space="preserve">Second: the workbook's narrative cells must not become OCEL events.</w:t>
      </w:r>
      <w:r>
        <w:rPr>
          <w:rFonts w:ascii="Arial" w:cs="Arial" w:eastAsia="Arial" w:hAnsi="Arial"/>
          <w:color w:val="0E0E11"/>
          <w:sz w:val="22"/>
          <w:szCs w:val="22"/>
        </w:rPr>
        <w:t xml:space="preserve"> OCEL 2.0 describes observation — what happened, to which objects, when, and in what relationship. It is not a language for clinical applicability, desired order, mutually exclusive branches, temporal obligation, contraindication, acceptable substitution, guideline provenance, clinical approval, measure denominators, or safety adjudication. Those belong in a versioned pathway definition that is evaluated </w:t>
      </w:r>
      <w:r>
        <w:rPr>
          <w:rFonts w:ascii="Arial" w:cs="Arial" w:eastAsia="Arial" w:hAnsi="Arial"/>
          <w:b w:val="false"/>
          <w:bCs w:val="false"/>
          <w:i/>
          <w:iCs/>
          <w:color w:val="0E0E11"/>
          <w:sz w:val="22"/>
          <w:szCs w:val="22"/>
        </w:rPr>
        <w:t xml:space="preserve">over</w:t>
      </w:r>
      <w:r>
        <w:rPr>
          <w:rFonts w:ascii="Arial" w:cs="Arial" w:eastAsia="Arial" w:hAnsi="Arial"/>
          <w:color w:val="0E0E11"/>
          <w:sz w:val="22"/>
          <w:szCs w:val="22"/>
        </w:rPr>
        <w:t xml:space="preserve"> the OCEL.</w:t>
      </w:r>
    </w:p>
    <w:p>
      <w:pPr>
        <w:keepNext/>
        <w:spacing w:after="120" w:before="320"/>
      </w:pPr>
      <w:r>
        <w:rPr>
          <w:rFonts w:ascii="Arial" w:cs="Arial" w:eastAsia="Arial" w:hAnsi="Arial"/>
          <w:b/>
          <w:bCs/>
          <w:color w:val="9B1B30"/>
          <w:sz w:val="32"/>
          <w:szCs w:val="32"/>
        </w:rPr>
        <w:t xml:space="preserve">1.1 The five-component target architecture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520"/>
        <w:gridCol w:w="2340"/>
        <w:gridCol w:w="4700"/>
        <w:gridCol w:w="1800"/>
      </w:tblGrid>
      <w:tr>
        <w:trPr>
          <w:tblHeader/>
        </w:trPr>
        <w:tc>
          <w:tcPr>
            <w:tcW w:type="dxa" w:w="52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t>
            </w:r>
          </w:p>
        </w:tc>
        <w:tc>
          <w:tcPr>
            <w:tcW w:type="dxa" w:w="234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Component</w:t>
            </w:r>
          </w:p>
        </w:tc>
        <w:tc>
          <w:tcPr>
            <w:tcW w:type="dxa" w:w="47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Answers</w:t>
            </w:r>
          </w:p>
        </w:tc>
        <w:tc>
          <w:tcPr>
            <w:tcW w:type="dxa" w:w="18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Cardinality</w:t>
            </w:r>
          </w:p>
        </w:tc>
      </w:tr>
      <w:tr>
        <w:tc>
          <w:tcPr>
            <w:tcW w:type="dxa" w:w="52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1</w:t>
            </w:r>
          </w:p>
        </w:tc>
        <w:tc>
          <w:tcPr>
            <w:tcW w:type="dxa" w:w="234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Enterprise OCEL 2.0 observation layer</w:t>
            </w:r>
          </w:p>
        </w:tc>
        <w:tc>
          <w:tcPr>
            <w:tcW w:type="dxa" w:w="4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What actually happened, to which objects, when, from which source record and version</w:t>
            </w:r>
          </w:p>
        </w:tc>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One, shared</w:t>
            </w:r>
          </w:p>
        </w:tc>
      </w:tr>
      <w:tr>
        <w:tc>
          <w:tcPr>
            <w:tcW w:type="dxa" w:w="52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2</w:t>
            </w:r>
          </w:p>
        </w:tc>
        <w:tc>
          <w:tcPr>
            <w:tcW w:type="dxa" w:w="234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Computable pathway definition packages</w:t>
            </w:r>
          </w:p>
        </w:tc>
        <w:tc>
          <w:tcPr>
            <w:tcW w:type="dxa" w:w="4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What was expected for an applicable patient — stages, atomic steps, branches, temporal constraints, exceptions, resource needs, measures</w:t>
            </w:r>
          </w:p>
        </w:tc>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250, independently versioned</w:t>
            </w:r>
          </w:p>
        </w:tc>
      </w:tr>
      <w:tr>
        <w:tc>
          <w:tcPr>
            <w:tcW w:type="dxa" w:w="52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3</w:t>
            </w:r>
          </w:p>
        </w:tc>
        <w:tc>
          <w:tcPr>
            <w:tcW w:type="dxa" w:w="234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Patient–pathway assignment layer</w:t>
            </w:r>
          </w:p>
        </w:tc>
        <w:tc>
          <w:tcPr>
            <w:tcW w:type="dxa" w:w="4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Why this pathway applied to this patient, who confirmed it, and which immutable definition version is pinned</w:t>
            </w:r>
          </w:p>
        </w:tc>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One per patient instance</w:t>
            </w:r>
          </w:p>
        </w:tc>
      </w:tr>
      <w:tr>
        <w:tc>
          <w:tcPr>
            <w:tcW w:type="dxa" w:w="52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4</w:t>
            </w:r>
          </w:p>
        </w:tc>
        <w:tc>
          <w:tcPr>
            <w:tcW w:type="dxa" w:w="234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Deterministic measurement ledger</w:t>
            </w:r>
          </w:p>
        </w:tc>
        <w:tc>
          <w:tcPr>
            <w:tcW w:type="dxa" w:w="4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How observation compared with definition — with timing, order, completeness, exceptions, coverage, confidence, and all supporting evidence</w:t>
            </w:r>
          </w:p>
        </w:tc>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One run per evaluation, append-only</w:t>
            </w:r>
          </w:p>
        </w:tc>
      </w:tr>
      <w:tr>
        <w:tc>
          <w:tcPr>
            <w:tcW w:type="dxa" w:w="52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5</w:t>
            </w:r>
          </w:p>
        </w:tc>
        <w:tc>
          <w:tcPr>
            <w:tcW w:type="dxa" w:w="234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Governed analysis and review layer</w:t>
            </w:r>
          </w:p>
        </w:tc>
        <w:tc>
          <w:tcPr>
            <w:tcW w:type="dxa" w:w="4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What a deficiency, bottleneck, resource, delay, outcome, or safety signal means — and what an authorised reviewer concluded</w:t>
            </w:r>
          </w:p>
        </w:tc>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One review workflow</w:t>
            </w:r>
          </w:p>
        </w:tc>
      </w:tr>
    </w:tbl>
    <w:p>
      <w:pPr>
        <w:spacing w:after="200" w:before="60"/>
      </w:pPr>
      <w:r>
        <w:rPr>
          <w:rFonts w:ascii="Arial" w:cs="Arial" w:eastAsia="Arial" w:hAnsi="Arial"/>
          <w:i/>
          <w:iCs/>
          <w:color w:val="666666"/>
          <w:sz w:val="15"/>
          <w:szCs w:val="15"/>
        </w:rPr>
        <w:t xml:space="preserve">Table 1.1 — The five components. Component 4 is deterministic and safety-critical; object-centric alignment is an explanatory second layer, never the first evaluator.</w:t>
      </w:r>
    </w:p>
    <w:p>
      <w:pPr>
        <w:keepNext/>
        <w:spacing w:after="120" w:before="320"/>
      </w:pPr>
      <w:r>
        <w:rPr>
          <w:rFonts w:ascii="Arial" w:cs="Arial" w:eastAsia="Arial" w:hAnsi="Arial"/>
          <w:b/>
          <w:bCs/>
          <w:color w:val="9B1B30"/>
          <w:sz w:val="32"/>
          <w:szCs w:val="32"/>
        </w:rPr>
        <w:t xml:space="preserve">1.2 The true scale of the work</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supplied release is a strong research catalog. It is not an executable pathway library. All 250 pathways still require institutional clinical signoff. The work ahead is:</w:t>
      </w:r>
    </w:p>
    <w:p>
      <w:pPr>
        <w:pStyle w:val="ListParagraph"/>
        <w:numPr>
          <w:ilvl w:val="0"/>
          <w:numId w:val="2"/>
        </w:numPr>
        <w:spacing w:after="60" w:before="20" w:line="276"/>
      </w:pPr>
      <w:r>
        <w:rPr>
          <w:rFonts w:ascii="Arial" w:cs="Arial" w:eastAsia="Arial" w:hAnsi="Arial"/>
          <w:color w:val="0E0E11"/>
          <w:sz w:val="22"/>
          <w:szCs w:val="22"/>
        </w:rPr>
        <w:t xml:space="preserve">Normalise approximately 28,164 candidate narrative clauses into atomic, typed rules.</w:t>
      </w:r>
    </w:p>
    <w:p>
      <w:pPr>
        <w:pStyle w:val="ListParagraph"/>
        <w:numPr>
          <w:ilvl w:val="0"/>
          <w:numId w:val="2"/>
        </w:numPr>
        <w:spacing w:after="60" w:before="20" w:line="276"/>
      </w:pPr>
      <w:r>
        <w:rPr>
          <w:rFonts w:ascii="Arial" w:cs="Arial" w:eastAsia="Arial" w:hAnsi="Arial"/>
          <w:color w:val="0E0E11"/>
          <w:sz w:val="22"/>
          <w:szCs w:val="22"/>
        </w:rPr>
        <w:t xml:space="preserve">Define and approve branches, exclusions, timing anchors, and exceptions for each pathway version.</w:t>
      </w:r>
    </w:p>
    <w:p>
      <w:pPr>
        <w:pStyle w:val="ListParagraph"/>
        <w:numPr>
          <w:ilvl w:val="0"/>
          <w:numId w:val="2"/>
        </w:numPr>
        <w:spacing w:after="60" w:before="20" w:line="276"/>
      </w:pPr>
      <w:r>
        <w:rPr>
          <w:rFonts w:ascii="Arial" w:cs="Arial" w:eastAsia="Arial" w:hAnsi="Arial"/>
          <w:color w:val="0E0E11"/>
          <w:sz w:val="22"/>
          <w:szCs w:val="22"/>
        </w:rPr>
        <w:t xml:space="preserve">Bind each expected observation to local source data with explicit timestamp semantics.</w:t>
      </w:r>
    </w:p>
    <w:p>
      <w:pPr>
        <w:pStyle w:val="ListParagraph"/>
        <w:numPr>
          <w:ilvl w:val="0"/>
          <w:numId w:val="2"/>
        </w:numPr>
        <w:spacing w:after="60" w:before="20" w:line="276"/>
      </w:pPr>
      <w:r>
        <w:rPr>
          <w:rFonts w:ascii="Arial" w:cs="Arial" w:eastAsia="Arial" w:hAnsi="Arial"/>
          <w:color w:val="0E0E11"/>
          <w:sz w:val="22"/>
          <w:szCs w:val="22"/>
        </w:rPr>
        <w:t xml:space="preserve">Validate candidate terminology rather than assuming code equivalence.</w:t>
      </w:r>
    </w:p>
    <w:p>
      <w:pPr>
        <w:pStyle w:val="ListParagraph"/>
        <w:numPr>
          <w:ilvl w:val="0"/>
          <w:numId w:val="2"/>
        </w:numPr>
        <w:spacing w:after="60" w:before="20" w:line="276"/>
      </w:pPr>
      <w:r>
        <w:rPr>
          <w:rFonts w:ascii="Arial" w:cs="Arial" w:eastAsia="Arial" w:hAnsi="Arial"/>
          <w:color w:val="0E0E11"/>
          <w:sz w:val="22"/>
          <w:szCs w:val="22"/>
        </w:rPr>
        <w:t xml:space="preserve">Prove data completeness and correction behaviour before any "missing" conclusion is permitted.</w:t>
      </w:r>
    </w:p>
    <w:p>
      <w:pPr>
        <w:pStyle w:val="ListParagraph"/>
        <w:numPr>
          <w:ilvl w:val="0"/>
          <w:numId w:val="2"/>
        </w:numPr>
        <w:spacing w:after="60" w:before="20" w:line="276"/>
      </w:pPr>
      <w:r>
        <w:rPr>
          <w:rFonts w:ascii="Arial" w:cs="Arial" w:eastAsia="Arial" w:hAnsi="Arial"/>
          <w:color w:val="0E0E11"/>
          <w:sz w:val="22"/>
          <w:szCs w:val="22"/>
        </w:rPr>
        <w:t xml:space="preserve">Construct a patient-level, reproducible measurement ledger.</w:t>
      </w:r>
    </w:p>
    <w:p>
      <w:pPr>
        <w:pStyle w:val="ListParagraph"/>
        <w:numPr>
          <w:ilvl w:val="0"/>
          <w:numId w:val="2"/>
        </w:numPr>
        <w:spacing w:after="60" w:before="20" w:line="276"/>
      </w:pPr>
      <w:r>
        <w:rPr>
          <w:rFonts w:ascii="Arial" w:cs="Arial" w:eastAsia="Arial" w:hAnsi="Arial"/>
          <w:color w:val="0E0E11"/>
          <w:sz w:val="22"/>
          <w:szCs w:val="22"/>
        </w:rPr>
        <w:t xml:space="preserve">Validate each measure against chart-reviewed gold cases.</w:t>
      </w:r>
    </w:p>
    <w:p>
      <w:pPr>
        <w:pStyle w:val="ListParagraph"/>
        <w:numPr>
          <w:ilvl w:val="0"/>
          <w:numId w:val="2"/>
        </w:numPr>
        <w:spacing w:after="60" w:before="20" w:line="276"/>
      </w:pPr>
      <w:r>
        <w:rPr>
          <w:rFonts w:ascii="Arial" w:cs="Arial" w:eastAsia="Arial" w:hAnsi="Arial"/>
          <w:color w:val="0E0E11"/>
          <w:sz w:val="22"/>
          <w:szCs w:val="22"/>
        </w:rPr>
        <w:t xml:space="preserve">Activate by readiness lane — never all at once.</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The claims discipline</w:t>
            </w:r>
          </w:p>
          <w:p>
            <w:pPr>
              <w:spacing w:after="60" w:line="264"/>
            </w:pPr>
            <w:r>
              <w:rPr>
                <w:rFonts w:ascii="Arial" w:cs="Arial" w:eastAsia="Arial" w:hAnsi="Arial"/>
                <w:color w:val="0E0E11"/>
                <w:sz w:val="20"/>
                <w:szCs w:val="20"/>
              </w:rPr>
              <w:t xml:space="preserve">A missing event is not necessarily missed care. A late step is not necessarily an undue delay. A long wait is not necessarily insufficient resources. A deviation is not necessarily an error. A correlation is not a root cause. A terminology match is not clinical approval.</w:t>
            </w:r>
          </w:p>
          <w:p>
            <w:pPr>
              <w:spacing w:after="60" w:line="264"/>
            </w:pPr>
            <w:r>
              <w:rPr>
                <w:rFonts w:ascii="Arial" w:cs="Arial" w:eastAsia="Arial" w:hAnsi="Arial"/>
                <w:color w:val="0E0E11"/>
                <w:sz w:val="20"/>
                <w:szCs w:val="20"/>
              </w:rPr>
              <w:t xml:space="preserve">Every design decision in this specification exists to keep those six separations intact under operational pressure.</w:t>
            </w:r>
          </w:p>
        </w:tc>
      </w:tr>
    </w:tbl>
    <w:p>
      <w:pPr>
        <w:spacing w:after="200"/>
      </w:pPr>
    </w:p>
    <w:p>
      <w:pPr>
        <w:keepNext/>
        <w:spacing w:after="160" w:before="400"/>
      </w:pPr>
      <w:r>
        <w:rPr>
          <w:rFonts w:ascii="Arial" w:cs="Arial" w:eastAsia="Arial" w:hAnsi="Arial"/>
          <w:b/>
          <w:bCs/>
          <w:color w:val="9B1B30"/>
          <w:sz w:val="38"/>
          <w:szCs w:val="38"/>
        </w:rPr>
        <w:t xml:space="preserve">2. Clinical and coding boundary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Binding constraint — read before any implementation work</w:t>
            </w:r>
          </w:p>
          <w:p>
            <w:pPr>
              <w:spacing w:after="60" w:line="264"/>
            </w:pPr>
            <w:r>
              <w:rPr>
                <w:rFonts w:ascii="Arial" w:cs="Arial" w:eastAsia="Arial" w:hAnsi="Arial"/>
                <w:color w:val="0E0E11"/>
                <w:sz w:val="20"/>
                <w:szCs w:val="20"/>
              </w:rPr>
              <w:t xml:space="preserve">The supplied pathway material and terminology crosswalks are research and planning inputs. They are not clinically approved order sets, coding directives, patient-specific recommendations, or evidence that a listed terminology code is applicable to a particular patient.</w:t>
            </w:r>
          </w:p>
          <w:p>
            <w:pPr>
              <w:spacing w:after="60" w:line="264"/>
            </w:pPr>
            <w:r>
              <w:rPr>
                <w:rFonts w:ascii="Arial" w:cs="Arial" w:eastAsia="Arial" w:hAnsi="Arial"/>
                <w:color w:val="0E0E11"/>
                <w:sz w:val="20"/>
                <w:szCs w:val="20"/>
              </w:rPr>
              <w:t xml:space="preserve">No pathway may influence live clinical care until its local definition, bindings, measures, exceptions, tests, and presentation have completed institutional governance.</w:t>
            </w:r>
          </w:p>
        </w:tc>
      </w:tr>
    </w:tbl>
    <w:p>
      <w:pPr>
        <w:spacing w:after="160"/>
      </w:pPr>
    </w:p>
    <w:p>
      <w:pPr>
        <w:keepNext w:val="false"/>
        <w:spacing w:after="120" w:before="0" w:line="276"/>
        <w:jc w:val="left"/>
      </w:pPr>
      <w:r>
        <w:rPr>
          <w:rFonts w:ascii="Arial" w:cs="Arial" w:eastAsia="Arial" w:hAnsi="Arial"/>
          <w:b w:val="false"/>
          <w:bCs w:val="false"/>
          <w:i w:val="false"/>
          <w:iCs w:val="false"/>
          <w:color w:val="0E0E11"/>
          <w:sz w:val="22"/>
          <w:szCs w:val="22"/>
        </w:rPr>
        <w:t xml:space="preserve">This boundary is not a disclaimer appended to a document. It is an enforced property of the system:</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Candidate terminology is stored in tables that are structurally separate from approved binding members. No code path may promote a candidate to a binding without a recorded review.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Definition versions carry an activation status that is independent of import status. Import never activates.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Every audience projection — staff, patient, Hummingbird, Patient Flow 4D, Arena, Eddy — is separately governed. Raw research prose never reaches a patient-facing or assistant surface.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Measurement output is evidence, not judgement. Causal and error language requires an adjudicated review record.</w:t>
      </w:r>
    </w:p>
    <w:p>
      <w:pPr>
        <w:keepNext/>
        <w:spacing w:after="160" w:before="400"/>
      </w:pPr>
      <w:r>
        <w:rPr>
          <w:rFonts w:ascii="Arial" w:cs="Arial" w:eastAsia="Arial" w:hAnsi="Arial"/>
          <w:b/>
          <w:bCs/>
          <w:color w:val="9B1B30"/>
          <w:sz w:val="38"/>
          <w:szCs w:val="38"/>
        </w:rPr>
        <w:t xml:space="preserve">3. Evidence and verification performed</w:t>
      </w:r>
    </w:p>
    <w:p>
      <w:pPr>
        <w:keepNext/>
        <w:spacing w:after="120" w:before="320"/>
      </w:pPr>
      <w:r>
        <w:rPr>
          <w:rFonts w:ascii="Arial" w:cs="Arial" w:eastAsia="Arial" w:hAnsi="Arial"/>
          <w:b/>
          <w:bCs/>
          <w:color w:val="9B1B30"/>
          <w:sz w:val="32"/>
          <w:szCs w:val="32"/>
        </w:rPr>
        <w:t xml:space="preserve">3.1 Supplied release identity</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research used the terminology-expanded release. Current file identities are: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400"/>
        <w:gridCol w:w="5100"/>
        <w:gridCol w:w="1860"/>
      </w:tblGrid>
      <w:tr>
        <w:trPr>
          <w:tblHeader/>
        </w:trPr>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Artifact</w:t>
            </w:r>
          </w:p>
        </w:tc>
        <w:tc>
          <w:tcPr>
            <w:tcW w:type="dxa" w:w="51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SHA-256</w:t>
            </w:r>
          </w:p>
        </w:tc>
        <w:tc>
          <w:tcPr>
            <w:tcW w:type="dxa" w:w="18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Shape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Terminology-expanded CSV</w:t>
            </w:r>
          </w:p>
        </w:tc>
        <w:tc>
          <w:tcPr>
            <w:tcW w:type="dxa" w:w="5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7ac306c44737c3a7af6ec4a499adec2a222c62d0568c72c65ea773fc00d081b1</w:t>
            </w:r>
          </w:p>
        </w:tc>
        <w:tc>
          <w:tcPr>
            <w:tcW w:type="dxa" w:w="1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250 pathways, 59 columns</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Terminology-expanded workbook</w:t>
            </w:r>
          </w:p>
        </w:tc>
        <w:tc>
          <w:tcPr>
            <w:tcW w:type="dxa" w:w="5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77399527d3b22f5d3ee7bf41066e46d1f9a34c5febe6d400a8f7fcd9769530b7</w:t>
            </w:r>
          </w:p>
        </w:tc>
        <w:tc>
          <w:tcPr>
            <w:tcW w:type="dxa" w:w="1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11 worksheets</w:t>
            </w:r>
          </w:p>
        </w:tc>
      </w:tr>
    </w:tbl>
    <w:p>
      <w:pPr>
        <w:spacing w:after="200" w:before="60"/>
      </w:pPr>
      <w:r>
        <w:rPr>
          <w:rFonts w:ascii="Arial" w:cs="Arial" w:eastAsia="Arial" w:hAnsi="Arial"/>
          <w:i/>
          <w:iCs/>
          <w:color w:val="666666"/>
          <w:sz w:val="15"/>
          <w:szCs w:val="15"/>
        </w:rPr>
        <w:t xml:space="preserve">Table 3.1 — Release digests. These differ from the previously accepted baseline; the expanded release requires its own manifest, lineage record, import identity, and acceptance decision.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workbook contains eleven worksheets: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700"/>
        <w:gridCol w:w="4900"/>
        <w:gridCol w:w="1760"/>
      </w:tblGrid>
      <w:tr>
        <w:trPr>
          <w:tblHeader/>
        </w:trPr>
        <w:tc>
          <w:tcPr>
            <w:tcW w:type="dxa" w:w="27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Worksheet</w:t>
            </w:r>
          </w:p>
        </w:tc>
        <w:tc>
          <w:tcPr>
            <w:tcW w:type="dxa" w:w="49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Data role</w:t>
            </w:r>
          </w:p>
        </w:tc>
        <w:tc>
          <w:tcPr>
            <w:tcW w:type="dxa" w:w="176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Size</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QA_Summary</w:t>
            </w:r>
          </w:p>
        </w:tc>
        <w:tc>
          <w:tcPr>
            <w:tcW w:type="dxa" w:w="4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Release-level verification facts</w:t>
            </w:r>
          </w:p>
        </w:tc>
        <w:tc>
          <w:tcPr>
            <w:tcW w:type="dxa" w:w="17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22 × 2</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Verification_Ledger</w:t>
            </w:r>
          </w:p>
        </w:tc>
        <w:tc>
          <w:tcPr>
            <w:tcW w:type="dxa" w:w="4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One governed review record per pathway</w:t>
            </w:r>
          </w:p>
        </w:tc>
        <w:tc>
          <w:tcPr>
            <w:tcW w:type="dxa" w:w="17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251 × 23</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Verified_Pathways</w:t>
            </w:r>
          </w:p>
        </w:tc>
        <w:tc>
          <w:tcPr>
            <w:tcW w:type="dxa" w:w="4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Pathway content plus provenance and terminology</w:t>
            </w:r>
          </w:p>
        </w:tc>
        <w:tc>
          <w:tcPr>
            <w:tcW w:type="dxa" w:w="17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251 × 69</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Claim_Audit</w:t>
            </w:r>
          </w:p>
        </w:tc>
        <w:tc>
          <w:tcPr>
            <w:tcW w:type="dxa" w:w="4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Claim-by-claim supporting evidence</w:t>
            </w:r>
          </w:p>
        </w:tc>
        <w:tc>
          <w:tcPr>
            <w:tcW w:type="dxa" w:w="17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10,124 × 11</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Source_Index</w:t>
            </w:r>
          </w:p>
        </w:tc>
        <w:tc>
          <w:tcPr>
            <w:tcW w:type="dxa" w:w="4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Resolved source inventory</w:t>
            </w:r>
          </w:p>
        </w:tc>
        <w:tc>
          <w:tcPr>
            <w:tcW w:type="dxa" w:w="17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812 × 11</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Change_Log</w:t>
            </w:r>
          </w:p>
        </w:tc>
        <w:tc>
          <w:tcPr>
            <w:tcW w:type="dxa" w:w="4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Append-only change evidence</w:t>
            </w:r>
          </w:p>
        </w:tc>
        <w:tc>
          <w:tcPr>
            <w:tcW w:type="dxa" w:w="17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325 × 8</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MS_DRG_Codebook</w:t>
            </w:r>
          </w:p>
        </w:tc>
        <w:tc>
          <w:tcPr>
            <w:tcW w:type="dxa" w:w="4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DRG reference data</w:t>
            </w:r>
          </w:p>
        </w:tc>
        <w:tc>
          <w:tcPr>
            <w:tcW w:type="dxa" w:w="17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771 × 7</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Methodology</w:t>
            </w:r>
          </w:p>
        </w:tc>
        <w:tc>
          <w:tcPr>
            <w:tcW w:type="dxa" w:w="4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Core verification method</w:t>
            </w:r>
          </w:p>
        </w:tc>
        <w:tc>
          <w:tcPr>
            <w:tcW w:type="dxa" w:w="17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16 × 2</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Terminology_Crosswalk</w:t>
            </w:r>
          </w:p>
        </w:tc>
        <w:tc>
          <w:tcPr>
            <w:tcW w:type="dxa" w:w="4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Candidate code-to-pathway records</w:t>
            </w:r>
          </w:p>
        </w:tc>
        <w:tc>
          <w:tcPr>
            <w:tcW w:type="dxa" w:w="17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10,589 × 12</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Terminology_QA</w:t>
            </w:r>
          </w:p>
        </w:tc>
        <w:tc>
          <w:tcPr>
            <w:tcW w:type="dxa" w:w="4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Terminology quality summary</w:t>
            </w:r>
          </w:p>
        </w:tc>
        <w:tc>
          <w:tcPr>
            <w:tcW w:type="dxa" w:w="17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22 × 7</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Terminology_Methodology</w:t>
            </w:r>
          </w:p>
        </w:tc>
        <w:tc>
          <w:tcPr>
            <w:tcW w:type="dxa" w:w="4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Terminology construction limits</w:t>
            </w:r>
          </w:p>
        </w:tc>
        <w:tc>
          <w:tcPr>
            <w:tcW w:type="dxa" w:w="17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18 × 6</w:t>
            </w:r>
          </w:p>
        </w:tc>
      </w:tr>
    </w:tbl>
    <w:p>
      <w:pPr>
        <w:spacing w:after="200" w:before="60"/>
      </w:pPr>
      <w:r>
        <w:rPr>
          <w:rFonts w:ascii="Arial" w:cs="Arial" w:eastAsia="Arial" w:hAnsi="Arial"/>
          <w:i/>
          <w:iCs/>
          <w:color w:val="666666"/>
          <w:sz w:val="15"/>
          <w:szCs w:val="15"/>
        </w:rPr>
        <w:t xml:space="preserve">Table 3.2 — Workbook structure. A second structural pass confirmed the ZIP package is valid, all eleven used-range dimensions reproduce, and the workbook contains zero formula cells and zero spreadsheet error tokens.</w:t>
      </w:r>
    </w:p>
    <w:p>
      <w:pPr>
        <w:keepNext/>
        <w:spacing w:after="120" w:before="320"/>
      </w:pPr>
      <w:r>
        <w:rPr>
          <w:rFonts w:ascii="Arial" w:cs="Arial" w:eastAsia="Arial" w:hAnsi="Arial"/>
          <w:b/>
          <w:bCs/>
          <w:color w:val="9B1B30"/>
          <w:sz w:val="32"/>
          <w:szCs w:val="32"/>
        </w:rPr>
        <w:t xml:space="preserve">3.2 Lossless expansion finding</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terminology-expanded release adds ten fields: loinc_codes, loinc_codes_count, cpt_codes, cpt_codes_count, snomed_ct_codes, snomed_ct_codes_count, icd10cm_codes, icd10cm_codes_count, terminology_mapping_status, and terminology_mapping_notes.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Two exact comparisons were performed: all original 49 CSV fields for all 250 rows against the production raw baseline, and all original 59 Verified_Pathways fields for all 250 rows against the production imported verification package. Both returned zero field differences. Each expanded artifact is therefore a lossless derivative of its own prior baseline.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Do not over-read the lossless finding</w:t>
            </w:r>
          </w:p>
          <w:p>
            <w:pPr>
              <w:spacing w:after="60" w:line="264"/>
            </w:pPr>
            <w:r>
              <w:rPr>
                <w:rFonts w:ascii="Arial" w:cs="Arial" w:eastAsia="Arial" w:hAnsi="Arial"/>
                <w:color w:val="0E0E11"/>
                <w:sz w:val="20"/>
                <w:szCs w:val="20"/>
              </w:rPr>
              <w:t xml:space="preserve">The expanded CSV and the expanded workbook are NOT exact copies of one another. A direct comparison of the 59 same-named CSV fields with Verified_Pathways found 1,972 exact cell differences.</w:t>
            </w:r>
          </w:p>
          <w:p>
            <w:pPr>
              <w:spacing w:after="60" w:line="264"/>
            </w:pPr>
            <w:r>
              <w:rPr>
                <w:rFonts w:ascii="Arial" w:cs="Arial" w:eastAsia="Arial" w:hAnsi="Arial"/>
                <w:color w:val="0E0E11"/>
                <w:sz w:val="20"/>
                <w:szCs w:val="20"/>
              </w:rPr>
              <w:t xml:space="preserve">verification_status, verification_confidence, verification_notes, source_access_date, citation_audit_status, clinical_verification_basis, and data_quality_notes differ for all 250 pathways. guideline_source, key_citations, and clinical_source_urls also differ for 74 pathways.</w:t>
            </w:r>
          </w:p>
          <w:p>
            <w:pPr>
              <w:spacing w:after="60" w:line="264"/>
            </w:pPr>
            <w:r>
              <w:rPr>
                <w:rFonts w:ascii="Arial" w:cs="Arial" w:eastAsia="Arial" w:hAnsi="Arial"/>
                <w:color w:val="0E0E11"/>
                <w:sz w:val="20"/>
                <w:szCs w:val="20"/>
              </w:rPr>
              <w:t xml:space="preserve">This is the two-layer release design: the CSV retains the pathway-build/raw research representation; the workbook carries the later verified and governed representation. The workbook Verified_Pathways sheet — not the CSV — is the source for governance lanes, source-specificity labels, terminology review state, and the 250-pathway worklist.</w:t>
            </w:r>
          </w:p>
        </w:tc>
      </w:tr>
    </w:tbl>
    <w:p>
      <w:pPr>
        <w:spacing w:after="160"/>
      </w:pPr>
    </w:p>
    <w:p>
      <w:pPr>
        <w:keepNext w:val="false"/>
        <w:spacing w:after="120" w:before="0" w:line="276"/>
        <w:jc w:val="left"/>
      </w:pPr>
      <w:r>
        <w:rPr>
          <w:rFonts w:ascii="Arial" w:cs="Arial" w:eastAsia="Arial" w:hAnsi="Arial"/>
          <w:b w:val="false"/>
          <w:bCs w:val="false"/>
          <w:i w:val="false"/>
          <w:iCs w:val="false"/>
          <w:color w:val="0E0E11"/>
          <w:sz w:val="22"/>
          <w:szCs w:val="22"/>
        </w:rPr>
        <w:t xml:space="preserve">Filename resemblance and semantic-core equality must never silently bypass release controls. The checksums differ because the new release adds content; a new acceptance decision is required.</w:t>
      </w:r>
    </w:p>
    <w:p>
      <w:pPr>
        <w:keepNext/>
        <w:spacing w:after="120" w:before="320"/>
      </w:pPr>
      <w:r>
        <w:rPr>
          <w:rFonts w:ascii="Arial" w:cs="Arial" w:eastAsia="Arial" w:hAnsi="Arial"/>
          <w:b/>
          <w:bCs/>
          <w:color w:val="9B1B30"/>
          <w:sz w:val="32"/>
          <w:szCs w:val="32"/>
        </w:rPr>
        <w:t xml:space="preserve">3.3 Read-only production snapshot</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production database inspection was executed in an explicitly read-only transaction with statement and lock timeouts. It was rolled back and made no changes.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500"/>
        <w:gridCol w:w="2180"/>
        <w:gridCol w:w="2500"/>
        <w:gridCol w:w="2180"/>
      </w:tblGrid>
      <w:tr>
        <w:trPr>
          <w:tblHeader/>
        </w:trPr>
        <w:tc>
          <w:tcPr>
            <w:tcW w:type="dxa" w:w="2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Area</w:t>
            </w:r>
          </w:p>
        </w:tc>
        <w:tc>
          <w:tcPr>
            <w:tcW w:type="dxa" w:w="21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Current evidence</w:t>
            </w:r>
          </w:p>
        </w:tc>
        <w:tc>
          <w:tcPr>
            <w:tcW w:type="dxa" w:w="2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Area</w:t>
            </w:r>
          </w:p>
        </w:tc>
        <w:tc>
          <w:tcPr>
            <w:tcW w:type="dxa" w:w="21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Current evidence</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Catalog definitions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250</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events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19,322</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Catalog versions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250</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objects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10,825</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Narrative sections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7,000 (28 per pathway)</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event–object links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55,730</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DRG mappings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802</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Distinct OCEL activities observed</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91</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Stage definitions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Distinct OCEL object types observed</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29</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Milestone definitions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source classes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9</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Activity definitions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observation window</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2026-05-11 → 2026-07-24</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Goal definitions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approvals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 pathway instances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reviews</w:t>
            </w:r>
          </w:p>
        </w:tc>
        <w:tc>
          <w:tcPr>
            <w:tcW w:type="dxa" w:w="21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 stage instances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 milestone instances</w:t>
            </w:r>
          </w:p>
        </w:tc>
        <w:tc>
          <w:tcPr>
            <w:tcW w:type="dxa" w:w="21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0</w:t>
            </w:r>
          </w:p>
        </w:tc>
      </w:tr>
    </w:tbl>
    <w:p>
      <w:pPr>
        <w:spacing w:after="200" w:before="60"/>
      </w:pPr>
      <w:r>
        <w:rPr>
          <w:rFonts w:ascii="Arial" w:cs="Arial" w:eastAsia="Arial" w:hAnsi="Arial"/>
          <w:i/>
          <w:iCs/>
          <w:color w:val="666666"/>
          <w:sz w:val="15"/>
          <w:szCs w:val="15"/>
        </w:rPr>
        <w:t xml:space="preserve">Table 3.3 — Production snapshot, 2026-07-24. All 250 versions are inactive and not reviewed: the release is behaving correctly as an unapproved catalog rather than a live clinical standard.</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existing relational schema is a useful foundation — it already distinguishes definitions, versions, sections, reviews, approvals, and append-only patient history. What it lacks is the computable graph content and the durable measurement ledger specified in Parts II and III.</w:t>
      </w:r>
    </w:p>
    <w:p>
      <w:pPr>
        <w:keepNext/>
        <w:spacing w:after="120" w:before="320"/>
      </w:pPr>
      <w:r>
        <w:rPr>
          <w:rFonts w:ascii="Arial" w:cs="Arial" w:eastAsia="Arial" w:hAnsi="Arial"/>
          <w:b/>
          <w:bCs/>
          <w:color w:val="9B1B30"/>
          <w:sz w:val="32"/>
          <w:szCs w:val="32"/>
        </w:rPr>
        <w:t xml:space="preserve">3.4 Current OCEL is operationally useful but not pathway-complete</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production OCEL contains substantial operational evidence, but source connectivity is fragmented. The table below reports the percentage of events in each source class with at least one linked Patient, Encounter, or non-patient/encounter operational object. The operational-object column excludes Patient, Encounter, Unit, and Bed; it includes process objects such as Transport Job, Barrier, Ancillary Order, OR Case, and Home Episode.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60"/>
        <w:gridCol w:w="800"/>
        <w:gridCol w:w="720"/>
        <w:gridCol w:w="900"/>
        <w:gridCol w:w="1000"/>
        <w:gridCol w:w="4380"/>
      </w:tblGrid>
      <w:tr>
        <w:trPr>
          <w:tblHeader/>
        </w:trPr>
        <w:tc>
          <w:tcPr>
            <w:tcW w:type="dxa" w:w="15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Source class</w:t>
            </w:r>
          </w:p>
        </w:tc>
        <w:tc>
          <w:tcPr>
            <w:tcW w:type="dxa" w:w="8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Events</w:t>
            </w:r>
          </w:p>
        </w:tc>
        <w:tc>
          <w:tcPr>
            <w:tcW w:type="dxa" w:w="72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Patient</w:t>
            </w:r>
          </w:p>
        </w:tc>
        <w:tc>
          <w:tcPr>
            <w:tcW w:type="dxa" w:w="9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Encounter</w:t>
            </w:r>
          </w:p>
        </w:tc>
        <w:tc>
          <w:tcPr>
            <w:tcW w:type="dxa" w:w="10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Operational</w:t>
            </w:r>
          </w:p>
        </w:tc>
        <w:tc>
          <w:tcPr>
            <w:tcW w:type="dxa" w:w="43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Main limitation</w:t>
            </w:r>
          </w:p>
        </w:tc>
      </w:tr>
      <w:tr>
        <w:tc>
          <w:tcPr>
            <w:tcW w:type="dxa" w:w="1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Transport</w:t>
            </w:r>
          </w:p>
        </w:tc>
        <w:tc>
          <w:tcPr>
            <w:tcW w:type="dxa" w:w="8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11,308</w:t>
            </w:r>
          </w:p>
        </w:tc>
        <w:tc>
          <w:tcPr>
            <w:tcW w:type="dxa" w:w="72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99.3%</w:t>
            </w:r>
          </w:p>
        </w:tc>
        <w:tc>
          <w:tcPr>
            <w:tcW w:type="dxa" w:w="1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patient relationship</w:t>
            </w:r>
          </w:p>
        </w:tc>
      </w:tr>
      <w:tr>
        <w:tc>
          <w:tcPr>
            <w:tcW w:type="dxa" w:w="1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Flow core</w:t>
            </w:r>
          </w:p>
        </w:tc>
        <w:tc>
          <w:tcPr>
            <w:tcW w:type="dxa" w:w="8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4,430</w:t>
            </w:r>
          </w:p>
        </w:tc>
        <w:tc>
          <w:tcPr>
            <w:tcW w:type="dxa" w:w="72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10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43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linked workflow/resource object</w:t>
            </w:r>
          </w:p>
        </w:tc>
      </w:tr>
      <w:tr>
        <w:tc>
          <w:tcPr>
            <w:tcW w:type="dxa" w:w="1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Barriers</w:t>
            </w:r>
          </w:p>
        </w:tc>
        <w:tc>
          <w:tcPr>
            <w:tcW w:type="dxa" w:w="8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2,623</w:t>
            </w:r>
          </w:p>
        </w:tc>
        <w:tc>
          <w:tcPr>
            <w:tcW w:type="dxa" w:w="72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1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Barrier object only; no patient/encounter; no resolution event</w:t>
            </w:r>
          </w:p>
        </w:tc>
      </w:tr>
      <w:tr>
        <w:tc>
          <w:tcPr>
            <w:tcW w:type="dxa" w:w="1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Ancillary milestones</w:t>
            </w:r>
          </w:p>
        </w:tc>
        <w:tc>
          <w:tcPr>
            <w:tcW w:type="dxa" w:w="8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320</w:t>
            </w:r>
          </w:p>
        </w:tc>
        <w:tc>
          <w:tcPr>
            <w:tcW w:type="dxa" w:w="72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64.7%</w:t>
            </w:r>
          </w:p>
        </w:tc>
        <w:tc>
          <w:tcPr>
            <w:tcW w:type="dxa" w:w="10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Generic milestones; no clinical terminology binding</w:t>
            </w:r>
          </w:p>
        </w:tc>
      </w:tr>
      <w:tr>
        <w:tc>
          <w:tcPr>
            <w:tcW w:type="dxa" w:w="1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Care journey</w:t>
            </w:r>
          </w:p>
        </w:tc>
        <w:tc>
          <w:tcPr>
            <w:tcW w:type="dxa" w:w="8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259</w:t>
            </w:r>
          </w:p>
        </w:tc>
        <w:tc>
          <w:tcPr>
            <w:tcW w:type="dxa" w:w="72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1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encounter relationship</w:t>
            </w:r>
          </w:p>
        </w:tc>
      </w:tr>
      <w:tr>
        <w:tc>
          <w:tcPr>
            <w:tcW w:type="dxa" w:w="1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Case timing</w:t>
            </w:r>
          </w:p>
        </w:tc>
        <w:tc>
          <w:tcPr>
            <w:tcW w:type="dxa" w:w="8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192</w:t>
            </w:r>
          </w:p>
        </w:tc>
        <w:tc>
          <w:tcPr>
            <w:tcW w:type="dxa" w:w="72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10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patient or encounter relationship</w:t>
            </w:r>
          </w:p>
        </w:tc>
      </w:tr>
      <w:tr>
        <w:tc>
          <w:tcPr>
            <w:tcW w:type="dxa" w:w="1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Home visits</w:t>
            </w:r>
          </w:p>
        </w:tc>
        <w:tc>
          <w:tcPr>
            <w:tcW w:type="dxa" w:w="8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176</w:t>
            </w:r>
          </w:p>
        </w:tc>
        <w:tc>
          <w:tcPr>
            <w:tcW w:type="dxa" w:w="72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1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patient or encounter relationship</w:t>
            </w:r>
          </w:p>
        </w:tc>
      </w:tr>
      <w:tr>
        <w:tc>
          <w:tcPr>
            <w:tcW w:type="dxa" w:w="1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Home episodes</w:t>
            </w:r>
          </w:p>
        </w:tc>
        <w:tc>
          <w:tcPr>
            <w:tcW w:type="dxa" w:w="8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w:t>
            </w:r>
          </w:p>
        </w:tc>
        <w:tc>
          <w:tcPr>
            <w:tcW w:type="dxa" w:w="72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10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Very limited volume; no patient/encounter link</w:t>
            </w:r>
          </w:p>
        </w:tc>
      </w:tr>
      <w:tr>
        <w:tc>
          <w:tcPr>
            <w:tcW w:type="dxa" w:w="1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Escalations</w:t>
            </w:r>
          </w:p>
        </w:tc>
        <w:tc>
          <w:tcPr>
            <w:tcW w:type="dxa" w:w="8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4</w:t>
            </w:r>
          </w:p>
        </w:tc>
        <w:tc>
          <w:tcPr>
            <w:tcW w:type="dxa" w:w="72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1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100%</w:t>
            </w:r>
          </w:p>
        </w:tc>
        <w:tc>
          <w:tcPr>
            <w:tcW w:type="dxa" w:w="43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Too sparse for inference; no patient/encounter link</w:t>
            </w:r>
          </w:p>
        </w:tc>
      </w:tr>
    </w:tbl>
    <w:p>
      <w:pPr>
        <w:spacing w:after="200" w:before="60"/>
      </w:pPr>
      <w:r>
        <w:rPr>
          <w:rFonts w:ascii="Arial" w:cs="Arial" w:eastAsia="Arial" w:hAnsi="Arial"/>
          <w:i/>
          <w:iCs/>
          <w:color w:val="666666"/>
          <w:sz w:val="15"/>
          <w:szCs w:val="15"/>
        </w:rPr>
        <w:t xml:space="preserve">Table 3.4 — OCEL source connectivity. Two source classes carry the bulk of volume and neither is presently sufficient for pathway measurement: transport has no patient relationship; flow core has no linked workflow or resource object.</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OCEL reference catalogs currently contain 114 activity rows and 38 object-type rows, but only 91 activities and 29 object types are represented by actual events and objects. Catalog presence must not be confused with observed coverage.</w:t>
      </w:r>
    </w:p>
    <w:p>
      <w:pPr>
        <w:keepNext w:val="false"/>
        <w:spacing w:after="120" w:before="0" w:line="276"/>
        <w:jc w:val="left"/>
      </w:pPr>
      <w:r>
        <w:rPr>
          <w:rFonts w:ascii="Arial" w:cs="Arial" w:eastAsia="Arial" w:hAnsi="Arial"/>
          <w:b w:val="false"/>
          <w:bCs w:val="false"/>
          <w:i w:val="false"/>
          <w:iCs w:val="false"/>
          <w:color w:val="0E0E11"/>
          <w:sz w:val="22"/>
          <w:szCs w:val="22"/>
        </w:rPr>
        <w:t xml:space="preserve">Only a subset of flow events carry clinical-code-shaped attributes: 1,585 diagnosis-bearing, 960 order-bearing, 1,408 observation-bearing, and 435 medication-bearing. Ancillary events currently carry operational attributes — department, milestone code, phase, priority, source rank — but no validated LOINC, SNOMED CT, CPT, or local terminology binding capable of proving a specific pathway step.</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The existing conformance examples are demonstrations</w:t>
            </w:r>
          </w:p>
          <w:p>
            <w:pPr>
              <w:spacing w:after="60" w:line="264"/>
            </w:pPr>
            <w:r>
              <w:rPr>
                <w:rFonts w:ascii="Arial" w:cs="Arial" w:eastAsia="Arial" w:hAnsi="Arial"/>
                <w:color w:val="0E0E11"/>
                <w:sz w:val="20"/>
                <w:szCs w:val="20"/>
              </w:rPr>
              <w:t xml:space="preserve">The current hard-coded conformance examples cover sepsis, surgical safety, and home hospital. They are demonstrations, not proof that production can measure 250 pathway definitions.</w:t>
            </w:r>
          </w:p>
          <w:p>
            <w:pPr>
              <w:spacing w:after="60" w:line="264"/>
            </w:pPr>
            <w:r>
              <w:rPr>
                <w:rFonts w:ascii="Arial" w:cs="Arial" w:eastAsia="Arial" w:hAnsi="Arial"/>
                <w:color w:val="0E0E11"/>
                <w:sz w:val="20"/>
                <w:szCs w:val="20"/>
              </w:rPr>
              <w:t xml:space="preserve">The current aggregate signals for sepsis and surgical safety must not be presented as clinically validated pathway performance.</w:t>
            </w:r>
          </w:p>
        </w:tc>
      </w:tr>
    </w:tbl>
    <w:p>
      <w:pPr>
        <w:spacing w:after="160"/>
      </w:pPr>
    </w:p>
    <w:p>
      <w:pPr>
        <w:keepNext/>
        <w:spacing w:after="120" w:before="320"/>
      </w:pPr>
      <w:r>
        <w:rPr>
          <w:rFonts w:ascii="Arial" w:cs="Arial" w:eastAsia="Arial" w:hAnsi="Arial"/>
          <w:b/>
          <w:bCs/>
          <w:color w:val="9B1B30"/>
          <w:sz w:val="32"/>
          <w:szCs w:val="32"/>
        </w:rPr>
        <w:t xml:space="preserve">3.5 Integration readiness</w:t>
      </w:r>
    </w:p>
    <w:p>
      <w:pPr>
        <w:keepNext w:val="false"/>
        <w:spacing w:after="120" w:before="0" w:line="276"/>
        <w:jc w:val="left"/>
      </w:pPr>
      <w:r>
        <w:rPr>
          <w:rFonts w:ascii="Arial" w:cs="Arial" w:eastAsia="Arial" w:hAnsi="Arial"/>
          <w:b w:val="false"/>
          <w:bCs w:val="false"/>
          <w:i w:val="false"/>
          <w:iCs w:val="false"/>
          <w:color w:val="0E0E11"/>
          <w:sz w:val="22"/>
          <w:szCs w:val="22"/>
        </w:rPr>
        <w:t xml:space="preserve">Production contains 17 registered sources, all in sandbox-oriented states. One source has a recent passed FHIR conformance record and declares a useful resource set: Patient, Encounter, Condition, ServiceRequest, Observation, DiagnosticReport, MedicationRequest, MedicationAdministration, Procedure, Task, CarePlan, Goal, Provenance, Location, PractitionerRole, and CareTeam.</w:t>
      </w:r>
    </w:p>
    <w:p>
      <w:pPr>
        <w:keepNext w:val="false"/>
        <w:spacing w:after="120" w:before="0" w:line="276"/>
        <w:jc w:val="left"/>
      </w:pPr>
      <w:r>
        <w:rPr>
          <w:rFonts w:ascii="Arial" w:cs="Arial" w:eastAsia="Arial" w:hAnsi="Arial"/>
          <w:b w:val="false"/>
          <w:bCs w:val="false"/>
          <w:i w:val="false"/>
          <w:iCs w:val="false"/>
          <w:color w:val="0E0E11"/>
          <w:sz w:val="22"/>
          <w:szCs w:val="22"/>
        </w:rPr>
        <w:t xml:space="preserve">However, the conformance record does not prove complete historical or incremental data coverage; Bulk Data and Subscriptions are not established as available; the terminology-map table contains no rows; canonical events are dominated by flow and ancillary signals; and no current feed has been proven sufficient for all expected observations across the 250 pathways.</w:t>
      </w:r>
    </w:p>
    <w:p>
      <w:pPr>
        <w:keepNext w:val="false"/>
        <w:spacing w:after="120" w:before="0" w:line="276"/>
        <w:jc w:val="left"/>
      </w:pPr>
      <w:r>
        <w:rPr>
          <w:rFonts w:ascii="Arial" w:cs="Arial" w:eastAsia="Arial" w:hAnsi="Arial"/>
          <w:b/>
          <w:bCs/>
          <w:i w:val="false"/>
          <w:iCs w:val="false"/>
          <w:color w:val="0E0E11"/>
          <w:sz w:val="22"/>
          <w:szCs w:val="22"/>
        </w:rPr>
        <w:t xml:space="preserve">The first production milestone is therefore data observability and identity proof — not activation of pathway scoring.</w:t>
      </w:r>
    </w:p>
    <w:p>
      <w:pPr>
        <w:keepNext/>
        <w:spacing w:after="160" w:before="400"/>
      </w:pPr>
      <w:r>
        <w:rPr>
          <w:rFonts w:ascii="Arial" w:cs="Arial" w:eastAsia="Arial" w:hAnsi="Arial"/>
          <w:b/>
          <w:bCs/>
          <w:color w:val="9B1B30"/>
          <w:sz w:val="38"/>
          <w:szCs w:val="38"/>
        </w:rPr>
        <w:t xml:space="preserve">4. What the terminology expansion proves — and does not prove</w:t>
      </w:r>
    </w:p>
    <w:p>
      <w:pPr>
        <w:keepNext/>
        <w:spacing w:after="120" w:before="320"/>
      </w:pPr>
      <w:r>
        <w:rPr>
          <w:rFonts w:ascii="Arial" w:cs="Arial" w:eastAsia="Arial" w:hAnsi="Arial"/>
          <w:b/>
          <w:bCs/>
          <w:color w:val="9B1B30"/>
          <w:sz w:val="32"/>
          <w:szCs w:val="32"/>
        </w:rPr>
        <w:t xml:space="preserve">4.1 Candidate counts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700"/>
        <w:gridCol w:w="2000"/>
        <w:gridCol w:w="1600"/>
        <w:gridCol w:w="2400"/>
        <w:gridCol w:w="1660"/>
      </w:tblGrid>
      <w:tr>
        <w:trPr>
          <w:tblHeader/>
        </w:trPr>
        <w:tc>
          <w:tcPr>
            <w:tcW w:type="dxa" w:w="17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System</w:t>
            </w:r>
          </w:p>
        </w:tc>
        <w:tc>
          <w:tcPr>
            <w:tcW w:type="dxa" w:w="20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Candidate records</w:t>
            </w:r>
          </w:p>
        </w:tc>
        <w:tc>
          <w:tcPr>
            <w:tcW w:type="dxa" w:w="16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Unique codes</w:t>
            </w:r>
          </w:p>
        </w:tc>
        <w:tc>
          <w:tcPr>
            <w:tcW w:type="dxa" w:w="24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Pathways with candidates</w:t>
            </w:r>
          </w:p>
        </w:tc>
        <w:tc>
          <w:tcPr>
            <w:tcW w:type="dxa" w:w="166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Pathways without</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LOINC</w:t>
            </w:r>
          </w:p>
        </w:tc>
        <w:tc>
          <w:tcPr>
            <w:tcW w:type="dxa" w:w="2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7,285</w:t>
            </w:r>
          </w:p>
        </w:tc>
        <w:tc>
          <w:tcPr>
            <w:tcW w:type="dxa" w:w="16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871</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250</w:t>
            </w:r>
          </w:p>
        </w:tc>
        <w:tc>
          <w:tcPr>
            <w:tcW w:type="dxa" w:w="16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0</w:t>
            </w:r>
          </w:p>
        </w:tc>
      </w:tr>
      <w:tr>
        <w:tc>
          <w:tcPr>
            <w:tcW w:type="dxa" w:w="1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CPT</w:t>
            </w:r>
          </w:p>
        </w:tc>
        <w:tc>
          <w:tcPr>
            <w:tcW w:type="dxa" w:w="20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315</w:t>
            </w:r>
          </w:p>
        </w:tc>
        <w:tc>
          <w:tcPr>
            <w:tcW w:type="dxa" w:w="16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195</w:t>
            </w:r>
          </w:p>
        </w:tc>
        <w:tc>
          <w:tcPr>
            <w:tcW w:type="dxa" w:w="24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41</w:t>
            </w:r>
          </w:p>
        </w:tc>
        <w:tc>
          <w:tcPr>
            <w:tcW w:type="dxa" w:w="16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209</w:t>
            </w:r>
          </w:p>
        </w:tc>
      </w:tr>
      <w:tr>
        <w:tc>
          <w:tcPr>
            <w:tcW w:type="dxa" w:w="1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SNOMED CT</w:t>
            </w:r>
          </w:p>
        </w:tc>
        <w:tc>
          <w:tcPr>
            <w:tcW w:type="dxa" w:w="20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648</w:t>
            </w:r>
          </w:p>
        </w:tc>
        <w:tc>
          <w:tcPr>
            <w:tcW w:type="dxa" w:w="16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584</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107</w:t>
            </w:r>
          </w:p>
        </w:tc>
        <w:tc>
          <w:tcPr>
            <w:tcW w:type="dxa" w:w="16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143</w:t>
            </w:r>
          </w:p>
        </w:tc>
      </w:tr>
      <w:tr>
        <w:tc>
          <w:tcPr>
            <w:tcW w:type="dxa" w:w="1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ICD-10-CM</w:t>
            </w:r>
          </w:p>
        </w:tc>
        <w:tc>
          <w:tcPr>
            <w:tcW w:type="dxa" w:w="20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2,340</w:t>
            </w:r>
          </w:p>
        </w:tc>
        <w:tc>
          <w:tcPr>
            <w:tcW w:type="dxa" w:w="16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2,082</w:t>
            </w:r>
          </w:p>
        </w:tc>
        <w:tc>
          <w:tcPr>
            <w:tcW w:type="dxa" w:w="24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67</w:t>
            </w:r>
          </w:p>
        </w:tc>
        <w:tc>
          <w:tcPr>
            <w:tcW w:type="dxa" w:w="16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6"/>
                <w:szCs w:val="16"/>
              </w:rPr>
              <w:t xml:space="preserve">183</w:t>
            </w:r>
          </w:p>
        </w:tc>
      </w:tr>
    </w:tbl>
    <w:p>
      <w:pPr>
        <w:spacing w:after="200" w:before="60"/>
      </w:pPr>
      <w:r>
        <w:rPr>
          <w:rFonts w:ascii="Arial" w:cs="Arial" w:eastAsia="Arial" w:hAnsi="Arial"/>
          <w:i/>
          <w:iCs/>
          <w:color w:val="666666"/>
          <w:sz w:val="15"/>
          <w:szCs w:val="15"/>
        </w:rPr>
        <w:t xml:space="preserve">Table 4.1 — Terminology crosswalk candidates. An independent row-by-row reconciliation confirmed every pathway's semicolon-delimited candidate list, declared count, and crosswalk records contain the same code set for all four systems: zero list, count, or crosswalk mismatches, and no blanks in required fields.</w:t>
      </w:r>
    </w:p>
    <w:p>
      <w:pPr>
        <w:keepNext w:val="false"/>
        <w:spacing w:after="120" w:before="0" w:line="276"/>
        <w:jc w:val="left"/>
      </w:pPr>
      <w:r>
        <w:rPr>
          <w:rFonts w:ascii="Arial" w:cs="Arial" w:eastAsia="Arial" w:hAnsi="Arial"/>
          <w:b w:val="false"/>
          <w:bCs w:val="false"/>
          <w:i w:val="false"/>
          <w:iCs w:val="false"/>
          <w:color w:val="0E0E11"/>
          <w:sz w:val="22"/>
          <w:szCs w:val="22"/>
        </w:rPr>
        <w:t xml:space="preserve">Every crosswalk record carries the same status: the terminology source was verified, but pathway applicability still requires coding and clinical review.</w:t>
      </w:r>
    </w:p>
    <w:p>
      <w:pPr>
        <w:keepNext/>
        <w:spacing w:after="120" w:before="320"/>
      </w:pPr>
      <w:r>
        <w:rPr>
          <w:rFonts w:ascii="Arial" w:cs="Arial" w:eastAsia="Arial" w:hAnsi="Arial"/>
          <w:b/>
          <w:bCs/>
          <w:color w:val="9B1B30"/>
          <w:sz w:val="32"/>
          <w:szCs w:val="32"/>
        </w:rPr>
        <w:t xml:space="preserve">4.2 Safe interpretation</w:t>
      </w:r>
    </w:p>
    <w:p>
      <w:pPr>
        <w:keepNext/>
        <w:spacing w:after="100" w:before="240"/>
      </w:pPr>
      <w:r>
        <w:rPr>
          <w:rFonts w:ascii="Arial" w:cs="Arial" w:eastAsia="Arial" w:hAnsi="Arial"/>
          <w:b/>
          <w:bCs/>
          <w:color w:val="0E0E11"/>
          <w:sz w:val="26"/>
          <w:szCs w:val="26"/>
        </w:rPr>
        <w:t xml:space="preserve">The expansion is useful for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Locating candidate codes during normalisation.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Tracing descriptors back to terminology sources.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Estimating the review surface and sizing the terminology workload.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Generating local-code mapping tasks.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Identifying pathways with no conservative candidate match — a signal, not a defect.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Constructing test fixtures once a binding is approved.</w:t>
      </w:r>
    </w:p>
    <w:p>
      <w:pPr>
        <w:keepNext/>
        <w:spacing w:after="100" w:before="240"/>
      </w:pPr>
      <w:r>
        <w:rPr>
          <w:rFonts w:ascii="Arial" w:cs="Arial" w:eastAsia="Arial" w:hAnsi="Arial"/>
          <w:b/>
          <w:bCs/>
          <w:color w:val="0E0E11"/>
          <w:sz w:val="26"/>
          <w:szCs w:val="26"/>
        </w:rPr>
        <w:t xml:space="preserve">It is not evidence that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The code belongs in the pathway.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The code is sufficient to recognise the expected clinical action.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 diagnosis code establishes patient applicability.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Every descendant of a category is clinically equivalent.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An inherited or "maps to" SNOMED relationship is equivalent in this context.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 CPT descriptor represents what happened inside the institution.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 LOINC code alone determines specimen, method, timing, or interpretation.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 blank list means no relevant code exists.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ICD-10-PCS procedure bindings have been established — the workbook did not infer PCS at all.</w:t>
      </w:r>
    </w:p>
    <w:p>
      <w:pPr>
        <w:keepNext/>
        <w:spacing w:after="120" w:before="320"/>
      </w:pPr>
      <w:r>
        <w:rPr>
          <w:rFonts w:ascii="Arial" w:cs="Arial" w:eastAsia="Arial" w:hAnsi="Arial"/>
          <w:b/>
          <w:bCs/>
          <w:color w:val="9B1B30"/>
          <w:sz w:val="32"/>
          <w:szCs w:val="32"/>
        </w:rPr>
        <w:t xml:space="preserve">4.3 Binding review requirements by terminology system</w:t>
      </w:r>
    </w:p>
    <w:p>
      <w:pPr>
        <w:keepNext/>
        <w:spacing w:after="100" w:before="240"/>
      </w:pPr>
      <w:r>
        <w:rPr>
          <w:rFonts w:ascii="Arial" w:cs="Arial" w:eastAsia="Arial" w:hAnsi="Arial"/>
          <w:b/>
          <w:bCs/>
          <w:color w:val="0E0E11"/>
          <w:sz w:val="26"/>
          <w:szCs w:val="26"/>
        </w:rPr>
        <w:t xml:space="preserve">4.3.1 LOINC</w:t>
      </w:r>
    </w:p>
    <w:p>
      <w:pPr>
        <w:keepNext w:val="false"/>
        <w:spacing w:after="120" w:before="0" w:line="276"/>
        <w:jc w:val="left"/>
      </w:pPr>
      <w:r>
        <w:rPr>
          <w:rFonts w:ascii="Arial" w:cs="Arial" w:eastAsia="Arial" w:hAnsi="Arial"/>
          <w:b w:val="false"/>
          <w:bCs w:val="false"/>
          <w:i w:val="false"/>
          <w:iCs w:val="false"/>
          <w:color w:val="0E0E11"/>
          <w:sz w:val="22"/>
          <w:szCs w:val="22"/>
        </w:rPr>
        <w:t xml:space="preserve">For each candidate, reviewers must confirm component; property; timing; system or specimen; scale; method where relevant; order-versus-result observation semantics; local test code and panel membership; corrected/final/canceled result status; whether multiple acceptable codes form a value set; and whether the pathway expects an order, specimen collection, preliminary result, final result, result acknowledgment, threshold, or trend.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4"/>
              <w:bottom w:val="none" w:color="FFFFFF" w:sz="0"/>
              <w:right w:val="none" w:color="FFFFFF" w:sz="0"/>
            </w:tcBorders>
            <w:shd w:fill="F0FBF9"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Worked illustration</w:t>
            </w:r>
          </w:p>
          <w:p>
            <w:pPr>
              <w:spacing w:after="60" w:line="264"/>
            </w:pPr>
            <w:r>
              <w:rPr>
                <w:rFonts w:ascii="Arial" w:cs="Arial" w:eastAsia="Arial" w:hAnsi="Arial"/>
                <w:color w:val="0E0E11"/>
                <w:sz w:val="20"/>
                <w:szCs w:val="20"/>
              </w:rPr>
              <w:t xml:space="preserve">"Lactate obtained" cannot be implemented by testing for a LOINC code. It needs an event state, a timestamp role, an acceptable specimen and method set, and an explicit relationship to the patient encounter and the specimen. A resulted-but-cancelled lactate, a preliminary value later corrected, and a lactate drawn at an outside facility are three different measurement outcomes.</w:t>
            </w:r>
          </w:p>
        </w:tc>
      </w:tr>
    </w:tbl>
    <w:p>
      <w:pPr>
        <w:spacing w:after="160"/>
      </w:pPr>
    </w:p>
    <w:p>
      <w:pPr>
        <w:keepNext/>
        <w:spacing w:after="100" w:before="240"/>
      </w:pPr>
      <w:r>
        <w:rPr>
          <w:rFonts w:ascii="Arial" w:cs="Arial" w:eastAsia="Arial" w:hAnsi="Arial"/>
          <w:b/>
          <w:bCs/>
          <w:color w:val="0E0E11"/>
          <w:sz w:val="26"/>
          <w:szCs w:val="26"/>
        </w:rPr>
        <w:t xml:space="preserve">4.3.2 SNOMED CT</w:t>
      </w:r>
    </w:p>
    <w:p>
      <w:pPr>
        <w:keepNext w:val="false"/>
        <w:spacing w:after="120" w:before="0" w:line="276"/>
        <w:jc w:val="left"/>
      </w:pPr>
      <w:r>
        <w:rPr>
          <w:rFonts w:ascii="Arial" w:cs="Arial" w:eastAsia="Arial" w:hAnsi="Arial"/>
          <w:b w:val="false"/>
          <w:bCs w:val="false"/>
          <w:i w:val="false"/>
          <w:iCs w:val="false"/>
          <w:color w:val="0E0E11"/>
          <w:sz w:val="22"/>
          <w:szCs w:val="22"/>
        </w:rPr>
        <w:t xml:space="preserve">Reviewers must confirm whether the concept represents a condition, finding, procedure, observable entity, or other semantic tag; whether it is active in the selected edition and version; whether descendants are permitted and, if so, under an explicit expression constraint; whether post-coordination or local concepts are required; whether a map target changes meaning or merely supports interoperability; whether the concept is used for applicability, observation matching, contraindication, exception, or outcome; and the expected clinical and verification status.</w:t>
      </w:r>
    </w:p>
    <w:p>
      <w:pPr>
        <w:keepNext/>
        <w:spacing w:after="100" w:before="240"/>
      </w:pPr>
      <w:r>
        <w:rPr>
          <w:rFonts w:ascii="Arial" w:cs="Arial" w:eastAsia="Arial" w:hAnsi="Arial"/>
          <w:b/>
          <w:bCs/>
          <w:color w:val="0E0E11"/>
          <w:sz w:val="26"/>
          <w:szCs w:val="26"/>
        </w:rPr>
        <w:t xml:space="preserve">4.3.3 ICD-10-CM</w:t>
      </w:r>
    </w:p>
    <w:p>
      <w:pPr>
        <w:keepNext w:val="false"/>
        <w:spacing w:after="120" w:before="0" w:line="276"/>
        <w:jc w:val="left"/>
      </w:pPr>
      <w:r>
        <w:rPr>
          <w:rFonts w:ascii="Arial" w:cs="Arial" w:eastAsia="Arial" w:hAnsi="Arial"/>
          <w:b w:val="false"/>
          <w:bCs w:val="false"/>
          <w:i w:val="false"/>
          <w:iCs w:val="false"/>
          <w:color w:val="0E0E11"/>
          <w:sz w:val="22"/>
          <w:szCs w:val="22"/>
        </w:rPr>
        <w:t xml:space="preserve">ICD-10-CM is primarily a diagnosis classification and reconciliation signal in this design. Reviewers must reject automatic category-to-all-descendants equivalence; define the permitted code set and version; distinguish admission diagnosis, principal diagnosis, problem list, and discharge coding; account for laterality, encounter qualifiers, manifestations, and exclusions; specify whether the code is only a candidate assignment signal; and avoid using the final coded DRG as a silent real-time assignment key.</w:t>
      </w:r>
    </w:p>
    <w:p>
      <w:pPr>
        <w:keepNext/>
        <w:spacing w:after="100" w:before="240"/>
      </w:pPr>
      <w:r>
        <w:rPr>
          <w:rFonts w:ascii="Arial" w:cs="Arial" w:eastAsia="Arial" w:hAnsi="Arial"/>
          <w:b/>
          <w:bCs/>
          <w:color w:val="0E0E11"/>
          <w:sz w:val="26"/>
          <w:szCs w:val="26"/>
        </w:rPr>
        <w:t xml:space="preserve">4.3.4 CPT and procedure vocabularies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CPT candidates require licensed descriptor governance; explicit local procedure-code mapping; setting and status interpretation; separation of ordered, scheduled, started, completed, aborted, and billed states; modifier and laterality context where relevant; payer and billing latency awareness; and clinical confirmation that the code represents the intended procedural step.</w:t>
      </w:r>
    </w:p>
    <w:p>
      <w:pPr>
        <w:keepNext w:val="false"/>
        <w:spacing w:after="120" w:before="0" w:line="276"/>
        <w:jc w:val="left"/>
      </w:pPr>
      <w:r>
        <w:rPr>
          <w:rFonts w:ascii="Arial" w:cs="Arial" w:eastAsia="Arial" w:hAnsi="Arial"/>
          <w:b w:val="false"/>
          <w:bCs w:val="false"/>
          <w:i w:val="false"/>
          <w:iCs w:val="false"/>
          <w:color w:val="0E0E11"/>
          <w:sz w:val="22"/>
          <w:szCs w:val="22"/>
        </w:rPr>
        <w:t xml:space="preserve">Because the workbook did not infer ICD-10-PCS, surgical pathways without an approved procedure binding need a local procedure terminology and, where required, a reviewed PCS value set. </w:t>
      </w:r>
      <w:r>
        <w:rPr>
          <w:rFonts w:ascii="Arial" w:cs="Arial" w:eastAsia="Arial" w:hAnsi="Arial"/>
          <w:b/>
          <w:bCs/>
          <w:i w:val="false"/>
          <w:iCs w:val="false"/>
          <w:color w:val="0E0E11"/>
          <w:sz w:val="22"/>
          <w:szCs w:val="22"/>
        </w:rPr>
        <w:t xml:space="preserve">This gap must remain visible in the model rather than being papered over with a CPT proxy.</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250-pathway worklist in Appendix A marks 74 pathways as requiring a local procedure or ICD-10-PCS binding with an explicit "do not infer PCS" instruction. Those pathways cannot reach measurement readiness on terminology work alone.</w:t>
      </w:r>
    </w:p>
    <w:p>
      <w:pPr>
        <w:keepNext/>
        <w:spacing w:after="160" w:before="400"/>
      </w:pPr>
      <w:r>
        <w:rPr>
          <w:rFonts w:ascii="Arial" w:cs="Arial" w:eastAsia="Arial" w:hAnsi="Arial"/>
          <w:b/>
          <w:bCs/>
          <w:color w:val="9B1B30"/>
          <w:sz w:val="38"/>
          <w:szCs w:val="38"/>
        </w:rPr>
        <w:t xml:space="preserve">5. Current-state gap analysis against the Zephyrus repository</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following reconciles the target architecture against what exists in the codebase today. It is the basis for the phased roadmap in Part V and for the engineering backlog in the companion implementation prompt.</w:t>
      </w:r>
    </w:p>
    <w:p>
      <w:pPr>
        <w:keepNext/>
        <w:spacing w:after="120" w:before="320"/>
      </w:pPr>
      <w:r>
        <w:rPr>
          <w:rFonts w:ascii="Arial" w:cs="Arial" w:eastAsia="Arial" w:hAnsi="Arial"/>
          <w:b/>
          <w:bCs/>
          <w:color w:val="9B1B30"/>
          <w:sz w:val="32"/>
          <w:szCs w:val="32"/>
        </w:rPr>
        <w:t xml:space="preserve">5.1 What already exists and should be retained</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900"/>
        <w:gridCol w:w="1900"/>
        <w:gridCol w:w="4560"/>
      </w:tblGrid>
      <w:tr>
        <w:trPr>
          <w:tblHeader/>
        </w:trPr>
        <w:tc>
          <w:tcPr>
            <w:tcW w:type="dxa" w:w="29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Capability</w:t>
            </w:r>
          </w:p>
        </w:tc>
        <w:tc>
          <w:tcPr>
            <w:tcW w:type="dxa" w:w="19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Where it lives</w:t>
            </w:r>
          </w:p>
        </w:tc>
        <w:tc>
          <w:tcPr>
            <w:tcW w:type="dxa" w:w="45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Assessment</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Governed catalog: releases, controls, definitions, versions, narrative sections, DRG codebook and mappings, sources, evidence claims, reviews, approvals, append-only event log</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care_pathways schema</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Sound foundation. Append-only triggers and content-protection functions are already enforced at the database level.</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Definition-side graph tables: stage, milestone, activity, goal, and education definitions with stable keys and review states</w:t>
            </w:r>
          </w:p>
        </w:tc>
        <w:tc>
          <w:tcPr>
            <w:tcW w:type="dxa" w:w="1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care_pathways schema</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Structurally present but entirely unpopulated. The typed rule content specified in Part II must be added.</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Patient-side instances: pathway, stage, and milestone instances plus append-only status events, projection reviews, and release executions</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patient_experience schema</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Correct shape for patient projection. Not a measurement ledger.</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2.0 core: objects, events, event–object, object–object, object changes, quantity tables, plus an activity and object-type catalog</w:t>
            </w:r>
          </w:p>
        </w:tc>
        <w:tc>
          <w:tcPr>
            <w:tcW w:type="dxa" w:w="1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schema</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Standards-aligned. Needs the projection-integrity hardening in §9.5.</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OCEL projector with per-source emission mapping and deterministic identifier hashing</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Domain layer</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Working. Signature and reconciliation behaviour must be replaced per §10.5.</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Approved-catalog read service and append-only patient history</w:t>
            </w:r>
          </w:p>
        </w:tc>
        <w:tc>
          <w:tcPr>
            <w:tcW w:type="dxa" w:w="1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Service layer</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Good governance boundary. Should remain the only route by which pathway projections reach downstream applications.</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Integration source registry, FHIR conformance observation records, and resource profile registry</w:t>
            </w:r>
          </w:p>
        </w:tc>
        <w:tc>
          <w:tcPr>
            <w:tcW w:type="dxa" w:w="1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integration schema</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Ready to carry the source-coverage contracts in §14.</w:t>
            </w:r>
          </w:p>
        </w:tc>
      </w:tr>
    </w:tbl>
    <w:p>
      <w:pPr>
        <w:spacing w:after="200" w:before="60"/>
      </w:pPr>
      <w:r>
        <w:rPr>
          <w:rFonts w:ascii="Arial" w:cs="Arial" w:eastAsia="Arial" w:hAnsi="Arial"/>
          <w:i/>
          <w:iCs/>
          <w:color w:val="666666"/>
          <w:sz w:val="15"/>
          <w:szCs w:val="15"/>
        </w:rPr>
        <w:t xml:space="preserve">Table 5.1 — Retained foundations.</w:t>
      </w:r>
    </w:p>
    <w:p>
      <w:pPr>
        <w:keepNext/>
        <w:spacing w:after="120" w:before="320"/>
      </w:pPr>
      <w:r>
        <w:rPr>
          <w:rFonts w:ascii="Arial" w:cs="Arial" w:eastAsia="Arial" w:hAnsi="Arial"/>
          <w:b/>
          <w:bCs/>
          <w:color w:val="9B1B30"/>
          <w:sz w:val="32"/>
          <w:szCs w:val="32"/>
        </w:rPr>
        <w:t xml:space="preserve">5.2 What does not exist and must be built</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200"/>
        <w:gridCol w:w="4000"/>
        <w:gridCol w:w="2160"/>
      </w:tblGrid>
      <w:tr>
        <w:trPr>
          <w:tblHeader/>
        </w:trPr>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Missing capability</w:t>
            </w:r>
          </w:p>
        </w:tc>
        <w:tc>
          <w:tcPr>
            <w:tcW w:type="dxa" w:w="40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Consequence today</w:t>
            </w:r>
          </w:p>
        </w:tc>
        <w:tc>
          <w:tcPr>
            <w:tcW w:type="dxa" w:w="21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Specified in</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Any measurement-run, step-ledger, constraint-measurement, event-match, coverage, or measure-result persistence</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patient-level pathway result can be produced, reproduced, or audited</w:t>
            </w:r>
          </w:p>
        </w:tc>
        <w:tc>
          <w:tcPr>
            <w:tcW w:type="dxa" w:w="2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§11</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Any linkage between the pathway schema and the OCEL schema</w:t>
            </w:r>
          </w:p>
        </w:tc>
        <w:tc>
          <w:tcPr>
            <w:tcW w:type="dxa" w:w="4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Definitions and observations are two disconnected worlds</w:t>
            </w:r>
          </w:p>
        </w:tc>
        <w:tc>
          <w:tcPr>
            <w:tcW w:type="dxa" w:w="2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§9, §10</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Applicability rules, definition edges, branch groups, temporal constraints, exception policies, and resource requirements</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pathway cannot state what it expects, when, or under what conditions</w:t>
            </w:r>
          </w:p>
        </w:tc>
        <w:tc>
          <w:tcPr>
            <w:tcW w:type="dxa" w:w="2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§7</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Terminology binding sets and observation bindings; the local terminology map table is empty</w:t>
            </w:r>
          </w:p>
        </w:tc>
        <w:tc>
          <w:tcPr>
            <w:tcW w:type="dxa" w:w="4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expected observation can be recognised in local data</w:t>
            </w:r>
          </w:p>
        </w:tc>
        <w:tc>
          <w:tcPr>
            <w:tcW w:type="dxa" w:w="2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§7.9, §11.1</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Versioned, database-backed conformance definitions</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Pathway rules exist only as hard-coded functions for three demonstration pathways</w:t>
            </w:r>
          </w:p>
        </w:tc>
        <w:tc>
          <w:tcPr>
            <w:tcW w:type="dxa" w:w="2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§13</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Lifecycle-aware event matching</w:t>
            </w:r>
          </w:p>
        </w:tc>
        <w:tc>
          <w:tcPr>
            <w:tcW w:type="dxa" w:w="4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First-timestamp-per-activity logic cannot distinguish ordered from collected from resulted from acknowledged</w:t>
            </w:r>
          </w:p>
        </w:tc>
        <w:tc>
          <w:tcPr>
            <w:tcW w:type="dxa" w:w="2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§10.5</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Patient–pathway assignment with confirmation states and version pinning</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defensible denominator</w:t>
            </w:r>
          </w:p>
        </w:tc>
        <w:tc>
          <w:tcPr>
            <w:tcW w:type="dxa" w:w="2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§10.1–10.2</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Correction and supersession semantics for measurement</w:t>
            </w:r>
          </w:p>
        </w:tc>
        <w:tc>
          <w:tcPr>
            <w:tcW w:type="dxa" w:w="4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Late-arriving data would silently rewrite a reported result</w:t>
            </w:r>
          </w:p>
        </w:tc>
        <w:tc>
          <w:tcPr>
            <w:tcW w:type="dxa" w:w="2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§11.5</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Queue and resource objects; barrier resolution events</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Waiting cannot be separated from processing; resource conclusions are unsupportable</w:t>
            </w:r>
          </w:p>
        </w:tc>
        <w:tc>
          <w:tcPr>
            <w:tcW w:type="dxa" w:w="2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§12.2–12.3</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Safety-screen and adjudication workflow</w:t>
            </w:r>
          </w:p>
        </w:tc>
        <w:tc>
          <w:tcPr>
            <w:tcW w:type="dxa" w:w="4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Deviation and error cannot be kept apart</w:t>
            </w:r>
          </w:p>
        </w:tc>
        <w:tc>
          <w:tcPr>
            <w:tcW w:type="dxa" w:w="2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§12.5</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Staff-facing pathway surface beyond a synthetic demonstration page</w:t>
            </w:r>
          </w:p>
        </w:tc>
        <w:tc>
          <w:tcPr>
            <w:tcW w:type="dxa" w:w="4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reviewer workflow</w:t>
            </w:r>
          </w:p>
        </w:tc>
        <w:tc>
          <w:tcPr>
            <w:tcW w:type="dxa" w:w="2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§16.2</w:t>
            </w:r>
          </w:p>
        </w:tc>
      </w:tr>
    </w:tbl>
    <w:p>
      <w:pPr>
        <w:spacing w:after="200" w:before="60"/>
      </w:pPr>
      <w:r>
        <w:rPr>
          <w:rFonts w:ascii="Arial" w:cs="Arial" w:eastAsia="Arial" w:hAnsi="Arial"/>
          <w:i/>
          <w:iCs/>
          <w:color w:val="666666"/>
          <w:sz w:val="15"/>
          <w:szCs w:val="15"/>
        </w:rPr>
        <w:t xml:space="preserve">Table 5.2 — Build backlog, cross-referenced to the specifying section.</w:t>
      </w:r>
    </w:p>
    <w:p>
      <w:pPr>
        <w:keepNext/>
        <w:spacing w:after="120" w:before="320"/>
      </w:pPr>
      <w:r>
        <w:rPr>
          <w:rFonts w:ascii="Arial" w:cs="Arial" w:eastAsia="Arial" w:hAnsi="Arial"/>
          <w:b/>
          <w:bCs/>
          <w:color w:val="9B1B30"/>
          <w:sz w:val="32"/>
          <w:szCs w:val="32"/>
        </w:rPr>
        <w:t xml:space="preserve">5.3 The ordered repository change list</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following is the recommended order of change. Each item is a precondition for the ones below it; reordering them produces measurement results that cannot be defended.</w:t>
      </w:r>
    </w:p>
    <w:p>
      <w:pPr>
        <w:pStyle w:val="ListParagraph"/>
        <w:numPr>
          <w:ilvl w:val="0"/>
          <w:numId w:val="3"/>
        </w:numPr>
        <w:spacing w:after="60" w:before="20" w:line="276"/>
      </w:pPr>
      <w:r>
        <w:rPr>
          <w:rFonts w:ascii="Arial" w:cs="Arial" w:eastAsia="Arial" w:hAnsi="Arial"/>
          <w:color w:val="0E0E11"/>
          <w:sz w:val="22"/>
          <w:szCs w:val="22"/>
        </w:rPr>
        <w:t xml:space="preserve">Replace weak source signatures with bounded content digests.</w:t>
      </w:r>
    </w:p>
    <w:p>
      <w:pPr>
        <w:pStyle w:val="ListParagraph"/>
        <w:numPr>
          <w:ilvl w:val="0"/>
          <w:numId w:val="3"/>
        </w:numPr>
        <w:spacing w:after="60" w:before="20" w:line="276"/>
      </w:pPr>
      <w:r>
        <w:rPr>
          <w:rFonts w:ascii="Arial" w:cs="Arial" w:eastAsia="Arial" w:hAnsi="Arial"/>
          <w:color w:val="0E0E11"/>
          <w:sz w:val="22"/>
          <w:szCs w:val="22"/>
        </w:rPr>
        <w:t xml:space="preserve">Correct projection reconciliation and retraction behaviour.</w:t>
      </w:r>
    </w:p>
    <w:p>
      <w:pPr>
        <w:pStyle w:val="ListParagraph"/>
        <w:numPr>
          <w:ilvl w:val="0"/>
          <w:numId w:val="3"/>
        </w:numPr>
        <w:spacing w:after="60" w:before="20" w:line="276"/>
      </w:pPr>
      <w:r>
        <w:rPr>
          <w:rFonts w:ascii="Arial" w:cs="Arial" w:eastAsia="Arial" w:hAnsi="Arial"/>
          <w:color w:val="0E0E11"/>
          <w:sz w:val="22"/>
          <w:szCs w:val="22"/>
        </w:rPr>
        <w:t xml:space="preserve">Add source-coverage contracts and reports.</w:t>
      </w:r>
    </w:p>
    <w:p>
      <w:pPr>
        <w:pStyle w:val="ListParagraph"/>
        <w:numPr>
          <w:ilvl w:val="0"/>
          <w:numId w:val="3"/>
        </w:numPr>
        <w:spacing w:after="60" w:before="20" w:line="276"/>
      </w:pPr>
      <w:r>
        <w:rPr>
          <w:rFonts w:ascii="Arial" w:cs="Arial" w:eastAsia="Arial" w:hAnsi="Arial"/>
          <w:color w:val="0E0E11"/>
          <w:sz w:val="22"/>
          <w:szCs w:val="22"/>
        </w:rPr>
        <w:t xml:space="preserve">Populate governed local terminology maps.</w:t>
      </w:r>
    </w:p>
    <w:p>
      <w:pPr>
        <w:pStyle w:val="ListParagraph"/>
        <w:numPr>
          <w:ilvl w:val="0"/>
          <w:numId w:val="3"/>
        </w:numPr>
        <w:spacing w:after="60" w:before="20" w:line="276"/>
      </w:pPr>
      <w:r>
        <w:rPr>
          <w:rFonts w:ascii="Arial" w:cs="Arial" w:eastAsia="Arial" w:hAnsi="Arial"/>
          <w:color w:val="0E0E11"/>
          <w:sz w:val="22"/>
          <w:szCs w:val="22"/>
        </w:rPr>
        <w:t xml:space="preserve">Implement typed pathway definition entities.</w:t>
      </w:r>
    </w:p>
    <w:p>
      <w:pPr>
        <w:pStyle w:val="ListParagraph"/>
        <w:numPr>
          <w:ilvl w:val="0"/>
          <w:numId w:val="3"/>
        </w:numPr>
        <w:spacing w:after="60" w:before="20" w:line="276"/>
      </w:pPr>
      <w:r>
        <w:rPr>
          <w:rFonts w:ascii="Arial" w:cs="Arial" w:eastAsia="Arial" w:hAnsi="Arial"/>
          <w:color w:val="0E0E11"/>
          <w:sz w:val="22"/>
          <w:szCs w:val="22"/>
        </w:rPr>
        <w:t xml:space="preserve">Replace hard-coded pathway rule functions with versioned definitions.</w:t>
      </w:r>
    </w:p>
    <w:p>
      <w:pPr>
        <w:pStyle w:val="ListParagraph"/>
        <w:numPr>
          <w:ilvl w:val="0"/>
          <w:numId w:val="3"/>
        </w:numPr>
        <w:spacing w:after="60" w:before="20" w:line="276"/>
      </w:pPr>
      <w:r>
        <w:rPr>
          <w:rFonts w:ascii="Arial" w:cs="Arial" w:eastAsia="Arial" w:hAnsi="Arial"/>
          <w:color w:val="0E0E11"/>
          <w:sz w:val="22"/>
          <w:szCs w:val="22"/>
        </w:rPr>
        <w:t xml:space="preserve">Replace first-timestamp-per-activity logic with lifecycle-aware event matching.</w:t>
      </w:r>
    </w:p>
    <w:p>
      <w:pPr>
        <w:pStyle w:val="ListParagraph"/>
        <w:numPr>
          <w:ilvl w:val="0"/>
          <w:numId w:val="3"/>
        </w:numPr>
        <w:spacing w:after="60" w:before="20" w:line="276"/>
      </w:pPr>
      <w:r>
        <w:rPr>
          <w:rFonts w:ascii="Arial" w:cs="Arial" w:eastAsia="Arial" w:hAnsi="Arial"/>
          <w:color w:val="0E0E11"/>
          <w:sz w:val="22"/>
          <w:szCs w:val="22"/>
        </w:rPr>
        <w:t xml:space="preserve">Add patient–pathway assignment and version pinning.</w:t>
      </w:r>
    </w:p>
    <w:p>
      <w:pPr>
        <w:pStyle w:val="ListParagraph"/>
        <w:numPr>
          <w:ilvl w:val="0"/>
          <w:numId w:val="3"/>
        </w:numPr>
        <w:spacing w:after="60" w:before="20" w:line="276"/>
      </w:pPr>
      <w:r>
        <w:rPr>
          <w:rFonts w:ascii="Arial" w:cs="Arial" w:eastAsia="Arial" w:hAnsi="Arial"/>
          <w:color w:val="0E0E11"/>
          <w:sz w:val="22"/>
          <w:szCs w:val="22"/>
        </w:rPr>
        <w:t xml:space="preserve">Add measurement-run and step-ledger persistence.</w:t>
      </w:r>
    </w:p>
    <w:p>
      <w:pPr>
        <w:pStyle w:val="ListParagraph"/>
        <w:numPr>
          <w:ilvl w:val="0"/>
          <w:numId w:val="3"/>
        </w:numPr>
        <w:spacing w:after="60" w:before="20" w:line="276"/>
      </w:pPr>
      <w:r>
        <w:rPr>
          <w:rFonts w:ascii="Arial" w:cs="Arial" w:eastAsia="Arial" w:hAnsi="Arial"/>
          <w:color w:val="0E0E11"/>
          <w:sz w:val="22"/>
          <w:szCs w:val="22"/>
        </w:rPr>
        <w:t xml:space="preserve">Implement correction and supersession.</w:t>
      </w:r>
    </w:p>
    <w:p>
      <w:pPr>
        <w:pStyle w:val="ListParagraph"/>
        <w:numPr>
          <w:ilvl w:val="0"/>
          <w:numId w:val="3"/>
        </w:numPr>
        <w:spacing w:after="60" w:before="20" w:line="276"/>
      </w:pPr>
      <w:r>
        <w:rPr>
          <w:rFonts w:ascii="Arial" w:cs="Arial" w:eastAsia="Arial" w:hAnsi="Arial"/>
          <w:color w:val="0E0E11"/>
          <w:sz w:val="22"/>
          <w:szCs w:val="22"/>
        </w:rPr>
        <w:t xml:space="preserve">Expose evidence-first reviewer APIs.</w:t>
      </w:r>
    </w:p>
    <w:p>
      <w:pPr>
        <w:pStyle w:val="ListParagraph"/>
        <w:numPr>
          <w:ilvl w:val="0"/>
          <w:numId w:val="3"/>
        </w:numPr>
        <w:spacing w:after="60" w:before="20" w:line="276"/>
      </w:pPr>
      <w:r>
        <w:rPr>
          <w:rFonts w:ascii="Arial" w:cs="Arial" w:eastAsia="Arial" w:hAnsi="Arial"/>
          <w:color w:val="0E0E11"/>
          <w:sz w:val="22"/>
          <w:szCs w:val="22"/>
        </w:rPr>
        <w:t xml:space="preserve">Add queue and resource models.</w:t>
      </w:r>
    </w:p>
    <w:p>
      <w:pPr>
        <w:pStyle w:val="ListParagraph"/>
        <w:numPr>
          <w:ilvl w:val="0"/>
          <w:numId w:val="3"/>
        </w:numPr>
        <w:spacing w:after="60" w:before="20" w:line="276"/>
      </w:pPr>
      <w:r>
        <w:rPr>
          <w:rFonts w:ascii="Arial" w:cs="Arial" w:eastAsia="Arial" w:hAnsi="Arial"/>
          <w:color w:val="0E0E11"/>
          <w:sz w:val="22"/>
          <w:szCs w:val="22"/>
        </w:rPr>
        <w:t xml:space="preserve">Add safety-screen and review workflow.</w:t>
      </w:r>
    </w:p>
    <w:p>
      <w:pPr>
        <w:pStyle w:val="ListParagraph"/>
        <w:numPr>
          <w:ilvl w:val="0"/>
          <w:numId w:val="3"/>
        </w:numPr>
        <w:spacing w:after="60" w:before="20" w:line="276"/>
      </w:pPr>
      <w:r>
        <w:rPr>
          <w:rFonts w:ascii="Arial" w:cs="Arial" w:eastAsia="Arial" w:hAnsi="Arial"/>
          <w:color w:val="0E0E11"/>
          <w:sz w:val="22"/>
          <w:szCs w:val="22"/>
        </w:rPr>
        <w:t xml:space="preserve">Add offline object-centric alignments — only after deterministic evaluation is proven.</w:t>
      </w:r>
    </w:p>
    <w:p>
      <w:pPr>
        <w:pBdr>
          <w:bottom w:val="single" w:color="C9A227" w:sz="12" w:space="6"/>
        </w:pBdr>
        <w:spacing w:after="60" w:before="480"/>
      </w:pPr>
      <w:r>
        <w:rPr>
          <w:rFonts w:ascii="Arial" w:cs="Arial" w:eastAsia="Arial" w:hAnsi="Arial"/>
          <w:b/>
          <w:bCs/>
          <w:color w:val="C9A227"/>
          <w:spacing w:val="120"/>
          <w:sz w:val="19"/>
          <w:szCs w:val="19"/>
        </w:rPr>
        <w:t xml:space="preserve">PART II — TARGET ARCHITECTURE</w:t>
      </w:r>
    </w:p>
    <w:p>
      <w:pPr>
        <w:spacing w:after="120"/>
      </w:pPr>
    </w:p>
    <w:p>
      <w:pPr>
        <w:keepNext/>
        <w:spacing w:after="160" w:before="400"/>
      </w:pPr>
      <w:r>
        <w:rPr>
          <w:rFonts w:ascii="Arial" w:cs="Arial" w:eastAsia="Arial" w:hAnsi="Arial"/>
          <w:b/>
          <w:bCs/>
          <w:color w:val="9B1B30"/>
          <w:sz w:val="38"/>
          <w:szCs w:val="38"/>
        </w:rPr>
        <w:t xml:space="preserve">6. The central modeling decision</w:t>
      </w:r>
    </w:p>
    <w:p>
      <w:pPr>
        <w:keepNext/>
        <w:spacing w:after="120" w:before="320"/>
      </w:pPr>
      <w:r>
        <w:rPr>
          <w:rFonts w:ascii="Arial" w:cs="Arial" w:eastAsia="Arial" w:hAnsi="Arial"/>
          <w:b/>
          <w:bCs/>
          <w:color w:val="9B1B30"/>
          <w:sz w:val="32"/>
          <w:szCs w:val="32"/>
        </w:rPr>
        <w:t xml:space="preserve">6.1 OCEL describes observation, not the guideline</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OCEL 2.0 standard describes events, objects, qualified event–object relationships, object–object relationships, and changing object attributes. It is the right representation for the many objects involved in care delivery, and it is deliberately agnostic about what should have happened.</w:t>
      </w:r>
    </w:p>
    <w:p>
      <w:pPr>
        <w:keepNext w:val="false"/>
        <w:spacing w:after="120" w:before="0" w:line="276"/>
        <w:jc w:val="left"/>
      </w:pPr>
      <w:r>
        <w:rPr>
          <w:rFonts w:ascii="Arial" w:cs="Arial" w:eastAsia="Arial" w:hAnsi="Arial"/>
          <w:b w:val="false"/>
          <w:bCs w:val="false"/>
          <w:i w:val="false"/>
          <w:iCs w:val="false"/>
          <w:color w:val="0E0E11"/>
          <w:sz w:val="22"/>
          <w:szCs w:val="22"/>
        </w:rPr>
        <w:t xml:space="preserve">It is not, by itself, a complete language for clinical applicability, desired order, optional and mutually exclusive branches, temporal obligations, contraindications, acceptable substitutions, guideline provenance, clinical approval, measure denominators, or safety adjudication. Those concepts belong in a versioned pathway definition evaluated over the OCEL.</w:t>
      </w:r>
    </w:p>
    <w:p>
      <w:pPr>
        <w:keepNext/>
        <w:spacing w:after="120" w:before="320"/>
      </w:pPr>
      <w:r>
        <w:rPr>
          <w:rFonts w:ascii="Arial" w:cs="Arial" w:eastAsia="Arial" w:hAnsi="Arial"/>
          <w:b/>
          <w:bCs/>
          <w:color w:val="9B1B30"/>
          <w:sz w:val="32"/>
          <w:szCs w:val="32"/>
        </w:rPr>
        <w:t xml:space="preserve">6.2 Do not create 250 isolated OCEL silos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patient can be affected by several pathways at once, and one event can serve several purposes. A creatinine result can be relevant to acute kidney injury, sepsis, medication safety, and perioperative management simultaneously. A bed move can affect a clinical delay, transport workload, and capacity at the same time.</w:t>
      </w:r>
    </w:p>
    <w:p>
      <w:pPr>
        <w:keepNext w:val="false"/>
        <w:spacing w:after="120" w:before="0" w:line="276"/>
        <w:jc w:val="left"/>
      </w:pPr>
      <w:r>
        <w:rPr>
          <w:rFonts w:ascii="Arial" w:cs="Arial" w:eastAsia="Arial" w:hAnsi="Arial"/>
          <w:b w:val="false"/>
          <w:bCs w:val="false"/>
          <w:i w:val="false"/>
          <w:iCs w:val="false"/>
          <w:color w:val="0E0E11"/>
          <w:sz w:val="22"/>
          <w:szCs w:val="22"/>
        </w:rPr>
        <w:t xml:space="preserve">Duplicating events into pathway-specific logs would create inconsistent corrections, conflicting patient identities, duplicate lineage, brittle cross-pathway analysis, artificial case boundaries, expensive reprocessing, and difficulty proving which copy is authoritative.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governed source records</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        v</w:t>
            </w:r>
          </w:p>
          <w:p>
            <w:pPr>
              <w:spacing w:after="0" w:before="0" w:line="240"/>
            </w:pPr>
            <w:r>
              <w:rPr>
                <w:rFonts w:ascii="Courier New" w:cs="Courier New" w:eastAsia="Courier New" w:hAnsi="Courier New"/>
                <w:color w:val="FFFFFF"/>
                <w:sz w:val="16"/>
                <w:szCs w:val="16"/>
              </w:rPr>
              <w:t xml:space="preserve">canonical identity + event lifecycle</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        v</w:t>
            </w:r>
          </w:p>
          <w:p>
            <w:pPr>
              <w:spacing w:after="0" w:before="0" w:line="240"/>
            </w:pPr>
            <w:r>
              <w:rPr>
                <w:rFonts w:ascii="Courier New" w:cs="Courier New" w:eastAsia="Courier New" w:hAnsi="Courier New"/>
                <w:color w:val="FFFFFF"/>
                <w:sz w:val="16"/>
                <w:szCs w:val="16"/>
              </w:rPr>
              <w:t xml:space="preserve">ONE enterprise OCEL observation layer</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        +-- pathway definition vA + patient instance + measurement run</w:t>
            </w:r>
          </w:p>
          <w:p>
            <w:pPr>
              <w:spacing w:after="0" w:before="0" w:line="240"/>
            </w:pPr>
            <w:r>
              <w:rPr>
                <w:rFonts w:ascii="Courier New" w:cs="Courier New" w:eastAsia="Courier New" w:hAnsi="Courier New"/>
                <w:color w:val="FFFFFF"/>
                <w:sz w:val="16"/>
                <w:szCs w:val="16"/>
              </w:rPr>
              <w:t xml:space="preserve">        +-- pathway definition vB + patient instance + measurement run</w:t>
            </w:r>
          </w:p>
          <w:p>
            <w:pPr>
              <w:spacing w:after="0" w:before="0" w:line="240"/>
            </w:pPr>
            <w:r>
              <w:rPr>
                <w:rFonts w:ascii="Courier New" w:cs="Courier New" w:eastAsia="Courier New" w:hAnsi="Courier New"/>
                <w:color w:val="FFFFFF"/>
                <w:sz w:val="16"/>
                <w:szCs w:val="16"/>
              </w:rPr>
              <w:t xml:space="preserve">        +-- ...</w:t>
            </w:r>
          </w:p>
          <w:p>
            <w:pPr>
              <w:spacing w:after="0" w:before="0" w:line="240"/>
            </w:pPr>
            <w:r>
              <w:rPr>
                <w:rFonts w:ascii="Courier New" w:cs="Courier New" w:eastAsia="Courier New" w:hAnsi="Courier New"/>
                <w:color w:val="FFFFFF"/>
                <w:sz w:val="16"/>
                <w:szCs w:val="16"/>
              </w:rPr>
              <w:t xml:space="preserve">        +-- pathway definition v250 + patient instance + measurement run</w:t>
            </w:r>
          </w:p>
        </w:tc>
      </w:tr>
    </w:tbl>
    <w:p>
      <w:pPr>
        <w:spacing w:after="200" w:before="60"/>
      </w:pPr>
      <w:r>
        <w:rPr>
          <w:rFonts w:ascii="Arial" w:cs="Arial" w:eastAsia="Arial" w:hAnsi="Arial"/>
          <w:i/>
          <w:iCs/>
          <w:color w:val="666666"/>
          <w:sz w:val="15"/>
          <w:szCs w:val="15"/>
        </w:rPr>
        <w:t xml:space="preserve">Figure 6.1 — One observation layer, 250 independently versioned definitions, N measurement runs. Fan-out happens at evaluation time, never at storage time.</w:t>
      </w:r>
    </w:p>
    <w:p>
      <w:pPr>
        <w:keepNext/>
        <w:spacing w:after="120" w:before="320"/>
      </w:pPr>
      <w:r>
        <w:rPr>
          <w:rFonts w:ascii="Arial" w:cs="Arial" w:eastAsia="Arial" w:hAnsi="Arial"/>
          <w:b/>
          <w:bCs/>
          <w:color w:val="9B1B30"/>
          <w:sz w:val="32"/>
          <w:szCs w:val="32"/>
        </w:rPr>
        <w:t xml:space="preserve">6.3 Six separate kinds of truth</w:t>
      </w:r>
    </w:p>
    <w:p>
      <w:pPr>
        <w:keepNext w:val="false"/>
        <w:spacing w:after="120" w:before="0" w:line="276"/>
        <w:jc w:val="left"/>
      </w:pPr>
      <w:r>
        <w:rPr>
          <w:rFonts w:ascii="Arial" w:cs="Arial" w:eastAsia="Arial" w:hAnsi="Arial"/>
          <w:b w:val="false"/>
          <w:bCs w:val="false"/>
          <w:i w:val="false"/>
          <w:iCs w:val="false"/>
          <w:color w:val="0E0E11"/>
          <w:sz w:val="22"/>
          <w:szCs w:val="22"/>
        </w:rPr>
        <w:t xml:space="preserve">Zephyrus must preserve these six boundaries. No table, API, or interface may collapse them into one status flag.</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00"/>
        <w:gridCol w:w="2500"/>
        <w:gridCol w:w="3400"/>
        <w:gridCol w:w="1960"/>
      </w:tblGrid>
      <w:tr>
        <w:trPr>
          <w:tblHeader/>
        </w:trPr>
        <w:tc>
          <w:tcPr>
            <w:tcW w:type="dxa" w:w="1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Truth</w:t>
            </w:r>
          </w:p>
        </w:tc>
        <w:tc>
          <w:tcPr>
            <w:tcW w:type="dxa" w:w="2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Question it answers</w:t>
            </w:r>
          </w:p>
        </w:tc>
        <w:tc>
          <w:tcPr>
            <w:tcW w:type="dxa" w:w="3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Worked example</w:t>
            </w:r>
          </w:p>
        </w:tc>
        <w:tc>
          <w:tcPr>
            <w:tcW w:type="dxa" w:w="1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Owner</w:t>
            </w:r>
          </w:p>
        </w:tc>
      </w:tr>
      <w:tr>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 / evidence</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source material and raw data were received?</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FHIR Observation version 4; source workbook row 3</w:t>
            </w:r>
          </w:p>
        </w:tc>
        <w:tc>
          <w:tcPr>
            <w:tcW w:type="dxa" w:w="1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 engineering</w:t>
            </w:r>
          </w:p>
        </w:tc>
      </w:tr>
      <w:tr>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Definition</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did the approved pathway version require?</w:t>
            </w:r>
          </w:p>
        </w:tc>
        <w:tc>
          <w:tcPr>
            <w:tcW w:type="dxa" w:w="3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Obtain lactate within the approved window</w:t>
            </w:r>
          </w:p>
        </w:tc>
        <w:tc>
          <w:tcPr>
            <w:tcW w:type="dxa" w:w="1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owner</w:t>
            </w:r>
          </w:p>
        </w:tc>
      </w:tr>
      <w:tr>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Observation</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happened, to which objects, and when?</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Specimen collected 04:12; result finalised 05:08</w:t>
            </w:r>
          </w:p>
        </w:tc>
        <w:tc>
          <w:tcPr>
            <w:tcW w:type="dxa" w:w="1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Platform / projector</w:t>
            </w:r>
          </w:p>
        </w:tc>
      </w:tr>
      <w:tr>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Assignment</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Why was this pathway applicable to this patient?</w:t>
            </w:r>
          </w:p>
        </w:tc>
        <w:tc>
          <w:tcPr>
            <w:tcW w:type="dxa" w:w="3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Confirmed sepsis instance with named reviewer</w:t>
            </w:r>
          </w:p>
        </w:tc>
        <w:tc>
          <w:tcPr>
            <w:tcW w:type="dxa" w:w="1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Clinician / approved rule</w:t>
            </w:r>
          </w:p>
        </w:tc>
      </w:tr>
      <w:tr>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Measurement</w:t>
            </w:r>
          </w:p>
        </w:tc>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How did observation compare with definition?</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Result late by 18 minutes; coverage high</w:t>
            </w:r>
          </w:p>
        </w:tc>
        <w:tc>
          <w:tcPr>
            <w:tcW w:type="dxa" w:w="1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Evaluator</w:t>
            </w:r>
          </w:p>
        </w:tc>
      </w:tr>
      <w:tr>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Review / action</w:t>
            </w:r>
          </w:p>
        </w:tc>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was concluded and what was done?</w:t>
            </w:r>
          </w:p>
        </w:tc>
        <w:tc>
          <w:tcPr>
            <w:tcW w:type="dxa" w:w="3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Delay confirmed; capacity factor rejected; action assigned</w:t>
            </w:r>
          </w:p>
        </w:tc>
        <w:tc>
          <w:tcPr>
            <w:tcW w:type="dxa" w:w="1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 / safety</w:t>
            </w:r>
          </w:p>
        </w:tc>
      </w:tr>
    </w:tbl>
    <w:p>
      <w:pPr>
        <w:spacing w:after="200" w:before="60"/>
      </w:pPr>
      <w:r>
        <w:rPr>
          <w:rFonts w:ascii="Arial" w:cs="Arial" w:eastAsia="Arial" w:hAnsi="Arial"/>
          <w:i/>
          <w:iCs/>
          <w:color w:val="666666"/>
          <w:sz w:val="15"/>
          <w:szCs w:val="15"/>
        </w:rPr>
        <w:t xml:space="preserve">Table 6.1 — The six truths. A single "pathway compliance" percentage silently merges all six and is therefore prohibited.</w:t>
      </w:r>
    </w:p>
    <w:p>
      <w:pPr>
        <w:keepNext/>
        <w:spacing w:after="160" w:before="400"/>
      </w:pPr>
      <w:r>
        <w:rPr>
          <w:rFonts w:ascii="Arial" w:cs="Arial" w:eastAsia="Arial" w:hAnsi="Arial"/>
          <w:b/>
          <w:bCs/>
          <w:color w:val="9B1B30"/>
          <w:sz w:val="38"/>
          <w:szCs w:val="38"/>
        </w:rPr>
        <w:t xml:space="preserve">7. The pathway package</w:t>
      </w:r>
    </w:p>
    <w:p>
      <w:pPr>
        <w:keepNext w:val="false"/>
        <w:spacing w:after="120" w:before="0" w:line="276"/>
        <w:jc w:val="left"/>
      </w:pPr>
      <w:r>
        <w:rPr>
          <w:rFonts w:ascii="Arial" w:cs="Arial" w:eastAsia="Arial" w:hAnsi="Arial"/>
          <w:b w:val="false"/>
          <w:bCs w:val="false"/>
          <w:i w:val="false"/>
          <w:iCs w:val="false"/>
          <w:color w:val="0E0E11"/>
          <w:sz w:val="22"/>
          <w:szCs w:val="22"/>
        </w:rPr>
        <w:t xml:space="preserve">Each of the 250 rows becomes a pathway package, not a single record. The package is immutable after approval; later changes create a new version. This section specifies every component the package must carry.</w:t>
      </w:r>
    </w:p>
    <w:p>
      <w:pPr>
        <w:keepNext/>
        <w:spacing w:after="120" w:before="320"/>
      </w:pPr>
      <w:r>
        <w:rPr>
          <w:rFonts w:ascii="Arial" w:cs="Arial" w:eastAsia="Arial" w:hAnsi="Arial"/>
          <w:b/>
          <w:bCs/>
          <w:color w:val="9B1B30"/>
          <w:sz w:val="32"/>
          <w:szCs w:val="32"/>
        </w:rPr>
        <w:t xml:space="preserve">7.1 Package identity and governance</w:t>
      </w:r>
    </w:p>
    <w:p>
      <w:pPr>
        <w:keepNext w:val="false"/>
        <w:spacing w:after="120" w:before="0" w:line="276"/>
        <w:jc w:val="left"/>
      </w:pPr>
      <w:r>
        <w:rPr>
          <w:rFonts w:ascii="Arial" w:cs="Arial" w:eastAsia="Arial" w:hAnsi="Arial"/>
          <w:b w:val="false"/>
          <w:bCs w:val="false"/>
          <w:i w:val="false"/>
          <w:iCs w:val="false"/>
          <w:color w:val="0E0E11"/>
          <w:sz w:val="22"/>
          <w:szCs w:val="22"/>
        </w:rPr>
        <w:t xml:space="preserve">Required attributes: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Stable pathway definition identifier and human-readable title.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Local institutional title — what the pathway is actually called at this site.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Source release identifier and digest.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Pathway version and semantic version.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Clinical owner, operational owner, knowledge-engineering owner, and terminology reviewer — four named roles, not one.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Approval status, approval body, and approval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Effective start, effective end, and review-by date.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Superseded version reference.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Site, service line, population, and setting scope.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Provenance for every normalised rule — traceable to a source claim and a reviewer.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Audience-specific projection status, governed separately per surface.</w:t>
      </w:r>
    </w:p>
    <w:p>
      <w:pPr>
        <w:keepNext/>
        <w:spacing w:after="120" w:before="320"/>
      </w:pPr>
      <w:r>
        <w:rPr>
          <w:rFonts w:ascii="Arial" w:cs="Arial" w:eastAsia="Arial" w:hAnsi="Arial"/>
          <w:b/>
          <w:bCs/>
          <w:color w:val="9B1B30"/>
          <w:sz w:val="32"/>
          <w:szCs w:val="32"/>
        </w:rPr>
        <w:t xml:space="preserve">7.2 Applicability model</w:t>
      </w:r>
    </w:p>
    <w:p>
      <w:pPr>
        <w:keepNext w:val="false"/>
        <w:spacing w:after="120" w:before="0" w:line="276"/>
        <w:jc w:val="left"/>
      </w:pPr>
      <w:r>
        <w:rPr>
          <w:rFonts w:ascii="Arial" w:cs="Arial" w:eastAsia="Arial" w:hAnsi="Arial"/>
          <w:b w:val="false"/>
          <w:bCs w:val="false"/>
          <w:i w:val="false"/>
          <w:iCs w:val="false"/>
          <w:color w:val="0E0E11"/>
          <w:sz w:val="22"/>
          <w:szCs w:val="22"/>
        </w:rPr>
        <w:t xml:space="preserve">Each pathway needs executable inclusion and exclusion logic covering age range; sex-related or pregnancy context where clinically relevant; care setting and encounter class; presenting condition; confirmed versus suspected diagnosis; procedure planned, performed, or completed; acuity and severity qualifiers; comorbidities; transfers and prior treatment; palliative, hospice, comfort-measures, or goals-of-care status; contraindications; mutually exclusive pathway precedence; episode start and end; lookback and washout windows; and required clinician confirmation.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DRG is a reconciliation signal, not an assignment key</w:t>
            </w:r>
          </w:p>
          <w:p>
            <w:pPr>
              <w:spacing w:after="60" w:line="264"/>
            </w:pPr>
            <w:r>
              <w:rPr>
                <w:rFonts w:ascii="Arial" w:cs="Arial" w:eastAsia="Arial" w:hAnsi="Arial"/>
                <w:color w:val="0E0E11"/>
                <w:sz w:val="20"/>
                <w:szCs w:val="20"/>
              </w:rPr>
              <w:t xml:space="preserve">DRG is commonly assigned after care has occurred and can group heterogeneous clinical situations. It must never silently assign an active pathway.</w:t>
            </w:r>
          </w:p>
          <w:p>
            <w:pPr>
              <w:spacing w:after="60" w:line="264"/>
            </w:pPr>
            <w:r>
              <w:rPr>
                <w:rFonts w:ascii="Arial" w:cs="Arial" w:eastAsia="Arial" w:hAnsi="Arial"/>
                <w:color w:val="0E0E11"/>
                <w:sz w:val="20"/>
                <w:szCs w:val="20"/>
              </w:rPr>
              <w:t xml:space="preserve">Using the final coded DRG as a real-time assignment key would make the measurement denominator depend on billing latency and would guarantee that prospective and retrospective results disagree.</w:t>
            </w:r>
          </w:p>
        </w:tc>
      </w:tr>
    </w:tbl>
    <w:p>
      <w:pPr>
        <w:spacing w:after="160"/>
      </w:pPr>
    </w:p>
    <w:p>
      <w:pPr>
        <w:keepNext/>
        <w:spacing w:after="100" w:before="240"/>
      </w:pPr>
      <w:r>
        <w:rPr>
          <w:rFonts w:ascii="Arial" w:cs="Arial" w:eastAsia="Arial" w:hAnsi="Arial"/>
          <w:b/>
          <w:bCs/>
          <w:color w:val="0E0E11"/>
          <w:sz w:val="26"/>
          <w:szCs w:val="26"/>
        </w:rPr>
        <w:t xml:space="preserve">7.2.1 Assignment states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Assignment is a state machine, not a boolean. Every transition needs actor, reason, timestamp, and source evidence.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100"/>
        <w:gridCol w:w="4600"/>
        <w:gridCol w:w="2660"/>
      </w:tblGrid>
      <w:tr>
        <w:trPr>
          <w:tblHeader/>
        </w:trPr>
        <w:tc>
          <w:tcPr>
            <w:tcW w:type="dxa" w:w="21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State</w:t>
            </w:r>
          </w:p>
        </w:tc>
        <w:tc>
          <w:tcPr>
            <w:tcW w:type="dxa" w:w="46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Meaning</w:t>
            </w:r>
          </w:p>
        </w:tc>
        <w:tc>
          <w:tcPr>
            <w:tcW w:type="dxa" w:w="26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Counts toward denominator?</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candidate</w:t>
            </w:r>
          </w:p>
        </w:tc>
        <w:tc>
          <w:tcPr>
            <w:tcW w:type="dxa" w:w="4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Detection logic identified the case for consideration</w:t>
            </w:r>
          </w:p>
        </w:tc>
        <w:tc>
          <w:tcPr>
            <w:tcW w:type="dxa" w:w="2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pending_confirmation</w:t>
            </w:r>
          </w:p>
        </w:tc>
        <w:tc>
          <w:tcPr>
            <w:tcW w:type="dxa" w:w="4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Awaiting clinician or approved automated confirmation</w:t>
            </w:r>
          </w:p>
        </w:tc>
        <w:tc>
          <w:tcPr>
            <w:tcW w:type="dxa" w:w="26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confirmed</w:t>
            </w:r>
          </w:p>
        </w:tc>
        <w:tc>
          <w:tcPr>
            <w:tcW w:type="dxa" w:w="4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Applicability established; definition version pinned</w:t>
            </w:r>
          </w:p>
        </w:tc>
        <w:tc>
          <w:tcPr>
            <w:tcW w:type="dxa" w:w="2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Yes</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rejected</w:t>
            </w:r>
          </w:p>
        </w:tc>
        <w:tc>
          <w:tcPr>
            <w:tcW w:type="dxa" w:w="4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Reviewed and found not applicable</w:t>
            </w:r>
          </w:p>
        </w:tc>
        <w:tc>
          <w:tcPr>
            <w:tcW w:type="dxa" w:w="26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superseded</w:t>
            </w:r>
          </w:p>
        </w:tc>
        <w:tc>
          <w:tcPr>
            <w:tcW w:type="dxa" w:w="4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Replaced by a different pathway or a later instance</w:t>
            </w:r>
          </w:p>
        </w:tc>
        <w:tc>
          <w:tcPr>
            <w:tcW w:type="dxa" w:w="2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Per measure definition</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completed</w:t>
            </w:r>
          </w:p>
        </w:tc>
        <w:tc>
          <w:tcPr>
            <w:tcW w:type="dxa" w:w="4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Episode reached an approved terminal condition</w:t>
            </w:r>
          </w:p>
        </w:tc>
        <w:tc>
          <w:tcPr>
            <w:tcW w:type="dxa" w:w="26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Yes</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canceled</w:t>
            </w:r>
          </w:p>
        </w:tc>
        <w:tc>
          <w:tcPr>
            <w:tcW w:type="dxa" w:w="4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Instance withdrawn before measurement was meaningful</w:t>
            </w:r>
          </w:p>
        </w:tc>
        <w:tc>
          <w:tcPr>
            <w:tcW w:type="dxa" w:w="2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entered_in_error</w:t>
            </w:r>
          </w:p>
        </w:tc>
        <w:tc>
          <w:tcPr>
            <w:tcW w:type="dxa" w:w="4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Instance should never have existed</w:t>
            </w:r>
          </w:p>
        </w:tc>
        <w:tc>
          <w:tcPr>
            <w:tcW w:type="dxa" w:w="26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 and prior results are superseded</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unable_to_determine</w:t>
            </w:r>
          </w:p>
        </w:tc>
        <w:tc>
          <w:tcPr>
            <w:tcW w:type="dxa" w:w="4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Evidence insufficient to decide applicability</w:t>
            </w:r>
          </w:p>
        </w:tc>
        <w:tc>
          <w:tcPr>
            <w:tcW w:type="dxa" w:w="2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 reported as coverage, not as failure</w:t>
            </w:r>
          </w:p>
        </w:tc>
      </w:tr>
    </w:tbl>
    <w:p>
      <w:pPr>
        <w:spacing w:after="200" w:before="60"/>
      </w:pPr>
      <w:r>
        <w:rPr>
          <w:rFonts w:ascii="Arial" w:cs="Arial" w:eastAsia="Arial" w:hAnsi="Arial"/>
          <w:i/>
          <w:iCs/>
          <w:color w:val="666666"/>
          <w:sz w:val="15"/>
          <w:szCs w:val="15"/>
        </w:rPr>
        <w:t xml:space="preserve">Table 7.1 — Assignment states and denominator behaviour.</w:t>
      </w:r>
    </w:p>
    <w:p>
      <w:pPr>
        <w:keepNext/>
        <w:spacing w:after="120" w:before="320"/>
      </w:pPr>
      <w:r>
        <w:rPr>
          <w:rFonts w:ascii="Arial" w:cs="Arial" w:eastAsia="Arial" w:hAnsi="Arial"/>
          <w:b/>
          <w:bCs/>
          <w:color w:val="9B1B30"/>
          <w:sz w:val="32"/>
          <w:szCs w:val="32"/>
        </w:rPr>
        <w:t xml:space="preserve">7.3 Stage and atomic activity graph</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workbook's 28 narrative sections per pathway must be decomposed into stages; atomic expected activities; milestones; goals; decision points; branch groups; explicit edges; repeat rules; allowed substitutions; termination conditions; and escalation conditions.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An atomic expected activity must answer twelve questions. If any answer is unavailable, the activity is not yet computable and must not be marked executable.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7160"/>
      </w:tblGrid>
      <w:tr>
        <w:trPr>
          <w:tblHeader/>
        </w:trPr>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Property</w:t>
            </w:r>
          </w:p>
        </w:tc>
        <w:tc>
          <w:tcPr>
            <w:tcW w:type="dxa" w:w="71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Required question</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Stable ID</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Can this rule be referenced across versions and tests?</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Meaning</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What clinical or operational action is expected?</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Performer</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Who or what may perform it?</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Target object</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Which patient, encounter, specimen, order, procedure, or task?</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Evidence state</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Ordered, accepted, started, performed, resulted, verified, or acknowledged?</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Applicability</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Under what branch and conditions does it apply?</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Timing</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Relative to which named anchor, and with what bounds?</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Substitution</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What alternative evidence is acceptable?</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Exception</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What makes omission clinically acceptable?</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Binding</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Which source events and attributes prove it?</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Resource need</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Which role, location, equipment, or capacity is required?</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Provenance</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6"/>
                <w:szCs w:val="16"/>
              </w:rPr>
              <w:t xml:space="preserve">Which source claim and which reviewer support the rule?</w:t>
            </w:r>
          </w:p>
        </w:tc>
      </w:tr>
    </w:tbl>
    <w:p>
      <w:pPr>
        <w:spacing w:after="200" w:before="60"/>
      </w:pPr>
      <w:r>
        <w:rPr>
          <w:rFonts w:ascii="Arial" w:cs="Arial" w:eastAsia="Arial" w:hAnsi="Arial"/>
          <w:i/>
          <w:iCs/>
          <w:color w:val="666666"/>
          <w:sz w:val="15"/>
          <w:szCs w:val="15"/>
        </w:rPr>
        <w:t xml:space="preserve">Table 7.2 — The twelve properties of an atomic expected activity.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4"/>
              <w:bottom w:val="none" w:color="FFFFFF" w:sz="0"/>
              <w:right w:val="none" w:color="FFFFFF" w:sz="0"/>
            </w:tcBorders>
            <w:shd w:fill="F0FBF9"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Decomposition trigger</w:t>
            </w:r>
          </w:p>
          <w:p>
            <w:pPr>
              <w:spacing w:after="60" w:line="264"/>
            </w:pPr>
            <w:r>
              <w:rPr>
                <w:rFonts w:ascii="Arial" w:cs="Arial" w:eastAsia="Arial" w:hAnsi="Arial"/>
                <w:color w:val="0E0E11"/>
                <w:sz w:val="20"/>
                <w:szCs w:val="20"/>
              </w:rPr>
              <w:t xml:space="preserve">Any narrative string containing "and", "or", "unless", "if", "repeat", "consider", or more than one time expression must be decomposed before execution.</w:t>
            </w:r>
          </w:p>
          <w:p>
            <w:pPr>
              <w:spacing w:after="60" w:line="264"/>
            </w:pPr>
            <w:r>
              <w:rPr>
                <w:rFonts w:ascii="Arial" w:cs="Arial" w:eastAsia="Arial" w:hAnsi="Arial"/>
                <w:color w:val="0E0E11"/>
                <w:sz w:val="20"/>
                <w:szCs w:val="20"/>
              </w:rPr>
              <w:t xml:space="preserve">Across the 250 pathways this rule fires against approximately 28,164 candidate clauses, 11,663 timing terms, and 4,238 conditional terms.</w:t>
            </w:r>
          </w:p>
        </w:tc>
      </w:tr>
    </w:tbl>
    <w:p>
      <w:pPr>
        <w:spacing w:after="160"/>
      </w:pPr>
    </w:p>
    <w:p>
      <w:pPr>
        <w:keepNext/>
        <w:spacing w:after="120" w:before="320"/>
      </w:pPr>
      <w:r>
        <w:rPr>
          <w:rFonts w:ascii="Arial" w:cs="Arial" w:eastAsia="Arial" w:hAnsi="Arial"/>
          <w:b/>
          <w:bCs/>
          <w:color w:val="9B1B30"/>
          <w:sz w:val="32"/>
          <w:szCs w:val="32"/>
        </w:rPr>
        <w:t xml:space="preserve">7.4 Branch semantics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At minimum, the definition language needs eleven constructs. Branches must be explicit: a narrative bullet list must never be interpreted as all-required sequential care by default.</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800"/>
        <w:gridCol w:w="3800"/>
        <w:gridCol w:w="3760"/>
      </w:tblGrid>
      <w:tr>
        <w:trPr>
          <w:tblHeader/>
        </w:trPr>
        <w:tc>
          <w:tcPr>
            <w:tcW w:type="dxa" w:w="18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Construct</w:t>
            </w:r>
          </w:p>
        </w:tc>
        <w:tc>
          <w:tcPr>
            <w:tcW w:type="dxa" w:w="38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Semantics</w:t>
            </w:r>
          </w:p>
        </w:tc>
        <w:tc>
          <w:tcPr>
            <w:tcW w:type="dxa" w:w="37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Failure mode if omitted</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sequence</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 follows A</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Out-of-order care is invisible</w:t>
            </w:r>
          </w:p>
        </w:tc>
      </w:tr>
      <w:tr>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parallel</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 and C can proceed independently after A</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False out-of-sequence findings</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inclusive OR</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One or more branches can apply</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Over-counted deficiencies</w:t>
            </w:r>
          </w:p>
        </w:tc>
      </w:tr>
      <w:tr>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exclusive OR</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Exactly one branch applies</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Every alternative but one is scored as missing</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optional</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Absence is not a deficiency</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Appropriate restraint is scored as failure</w:t>
            </w:r>
          </w:p>
        </w:tc>
      </w:tr>
      <w:tr>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conditional</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Branch applies only when a predicate is true</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Denominator includes non-applicable patients</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repeat-until</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Repeat while a condition persists</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Monitoring cadence cannot be measured</w:t>
            </w:r>
          </w:p>
        </w:tc>
      </w:tr>
      <w:tr>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loop with bound</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Repeat no more than the approved limit</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Rework is indistinguishable from expected repetition</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interrupt</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Escalation or adverse event changes the expected path</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Deterioration is scored against the original plan</w:t>
            </w:r>
          </w:p>
        </w:tc>
      </w:tr>
      <w:tr>
        <w:tc>
          <w:tcPr>
            <w:tcW w:type="dxa" w:w="1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substitution</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One approved activity satisfies another obligation</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Locally acceptable practice is scored as deviation</w:t>
            </w:r>
          </w:p>
        </w:tc>
      </w:tr>
      <w:tr>
        <w:tc>
          <w:tcPr>
            <w:tcW w:type="dxa" w:w="1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terminal</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Discharge, transfer, death, comfort care, or other approved end</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Open obligations never resolve</w:t>
            </w:r>
          </w:p>
        </w:tc>
      </w:tr>
    </w:tbl>
    <w:p>
      <w:pPr>
        <w:spacing w:after="200" w:before="60"/>
      </w:pPr>
      <w:r>
        <w:rPr>
          <w:rFonts w:ascii="Arial" w:cs="Arial" w:eastAsia="Arial" w:hAnsi="Arial"/>
          <w:i/>
          <w:iCs/>
          <w:color w:val="666666"/>
          <w:sz w:val="15"/>
          <w:szCs w:val="15"/>
        </w:rPr>
        <w:t xml:space="preserve">Table 7.3 — Branch constructs and the specific measurement error each one prevents.</w:t>
      </w:r>
    </w:p>
    <w:p>
      <w:pPr>
        <w:keepNext/>
        <w:spacing w:after="120" w:before="320"/>
      </w:pPr>
      <w:r>
        <w:rPr>
          <w:rFonts w:ascii="Arial" w:cs="Arial" w:eastAsia="Arial" w:hAnsi="Arial"/>
          <w:b/>
          <w:bCs/>
          <w:color w:val="9B1B30"/>
          <w:sz w:val="32"/>
          <w:szCs w:val="32"/>
        </w:rPr>
        <w:t xml:space="preserve">7.5 Temporal constraint model</w:t>
      </w:r>
    </w:p>
    <w:p>
      <w:pPr>
        <w:keepNext w:val="false"/>
        <w:spacing w:after="120" w:before="0" w:line="276"/>
        <w:jc w:val="left"/>
      </w:pPr>
      <w:r>
        <w:rPr>
          <w:rFonts w:ascii="Arial" w:cs="Arial" w:eastAsia="Arial" w:hAnsi="Arial"/>
          <w:b w:val="false"/>
          <w:bCs w:val="false"/>
          <w:i w:val="false"/>
          <w:iCs w:val="false"/>
          <w:color w:val="0E0E11"/>
          <w:sz w:val="22"/>
          <w:szCs w:val="22"/>
        </w:rPr>
        <w:t xml:space="preserve">Each timing rule needs seventeen attributes: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7160"/>
      </w:tblGrid>
      <w:tr>
        <w:trPr>
          <w:tblHeader/>
        </w:trPr>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Attribute group</w:t>
            </w:r>
          </w:p>
        </w:tc>
        <w:tc>
          <w:tcPr>
            <w:tcW w:type="dxa" w:w="71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Fields</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Identity</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constraint ID; source step; target step</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Anchoring</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named anchor event; anchor selection rule when several candidates exist</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Bounds</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lower bound; upper bound; unit; inclusive/exclusive boundary</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Clock</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elapsed, calendar, business, or staffed-time clock; pause conditions; timezone and daylight-saving policy</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Interpretation</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early/late interpretation; missing-anchor policy</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Operations</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active-encounter alert threshold; retrospective finalisation policy</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Governance</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approval provenance</w:t>
            </w:r>
          </w:p>
        </w:tc>
      </w:tr>
    </w:tbl>
    <w:p>
      <w:pPr>
        <w:spacing w:after="200" w:before="60"/>
      </w:pPr>
      <w:r>
        <w:rPr>
          <w:rFonts w:ascii="Arial" w:cs="Arial" w:eastAsia="Arial" w:hAnsi="Arial"/>
          <w:i/>
          <w:iCs/>
          <w:color w:val="666666"/>
          <w:sz w:val="15"/>
          <w:szCs w:val="15"/>
        </w:rPr>
        <w:t xml:space="preserve">Table 7.4 — Temporal constraint attributes.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target = specimen_collected</w:t>
            </w:r>
          </w:p>
          <w:p>
            <w:pPr>
              <w:spacing w:after="0" w:before="0" w:line="240"/>
            </w:pPr>
            <w:r>
              <w:rPr>
                <w:rFonts w:ascii="Courier New" w:cs="Courier New" w:eastAsia="Courier New" w:hAnsi="Courier New"/>
                <w:color w:val="FFFFFF"/>
                <w:sz w:val="16"/>
                <w:szCs w:val="16"/>
              </w:rPr>
              <w:t xml:space="preserve">anchor = pathway_recognition</w:t>
            </w:r>
          </w:p>
          <w:p>
            <w:pPr>
              <w:spacing w:after="0" w:before="0" w:line="240"/>
            </w:pPr>
            <w:r>
              <w:rPr>
                <w:rFonts w:ascii="Courier New" w:cs="Courier New" w:eastAsia="Courier New" w:hAnsi="Courier New"/>
                <w:color w:val="FFFFFF"/>
                <w:sz w:val="16"/>
                <w:szCs w:val="16"/>
              </w:rPr>
              <w:t xml:space="preserve">window = [0 minutes, 60 minutes]</w:t>
            </w:r>
          </w:p>
          <w:p>
            <w:pPr>
              <w:spacing w:after="0" w:before="0" w:line="240"/>
            </w:pPr>
            <w:r>
              <w:rPr>
                <w:rFonts w:ascii="Courier New" w:cs="Courier New" w:eastAsia="Courier New" w:hAnsi="Courier New"/>
                <w:color w:val="FFFFFF"/>
                <w:sz w:val="16"/>
                <w:szCs w:val="16"/>
              </w:rPr>
              <w:t xml:space="preserve">clock  = elapsed</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target = specialist_consult_completed</w:t>
            </w:r>
          </w:p>
          <w:p>
            <w:pPr>
              <w:spacing w:after="0" w:before="0" w:line="240"/>
            </w:pPr>
            <w:r>
              <w:rPr>
                <w:rFonts w:ascii="Courier New" w:cs="Courier New" w:eastAsia="Courier New" w:hAnsi="Courier New"/>
                <w:color w:val="FFFFFF"/>
                <w:sz w:val="16"/>
                <w:szCs w:val="16"/>
              </w:rPr>
              <w:t xml:space="preserve">anchor = consult_request_accepted</w:t>
            </w:r>
          </w:p>
          <w:p>
            <w:pPr>
              <w:spacing w:after="0" w:before="0" w:line="240"/>
            </w:pPr>
            <w:r>
              <w:rPr>
                <w:rFonts w:ascii="Courier New" w:cs="Courier New" w:eastAsia="Courier New" w:hAnsi="Courier New"/>
                <w:color w:val="FFFFFF"/>
                <w:sz w:val="16"/>
                <w:szCs w:val="16"/>
              </w:rPr>
              <w:t xml:space="preserve">window = [0 hours, 24 staffed hours]</w:t>
            </w:r>
          </w:p>
          <w:p>
            <w:pPr>
              <w:spacing w:after="0" w:before="0" w:line="240"/>
            </w:pPr>
            <w:r>
              <w:rPr>
                <w:rFonts w:ascii="Courier New" w:cs="Courier New" w:eastAsia="Courier New" w:hAnsi="Courier New"/>
                <w:color w:val="FFFFFF"/>
                <w:sz w:val="16"/>
                <w:szCs w:val="16"/>
              </w:rPr>
              <w:t xml:space="preserve">pause  = service unavailable under approved transfer protocol</w:t>
            </w:r>
          </w:p>
        </w:tc>
      </w:tr>
    </w:tbl>
    <w:p>
      <w:pPr>
        <w:spacing w:after="200" w:before="60"/>
      </w:pPr>
      <w:r>
        <w:rPr>
          <w:rFonts w:ascii="Arial" w:cs="Arial" w:eastAsia="Arial" w:hAnsi="Arial"/>
          <w:i/>
          <w:iCs/>
          <w:color w:val="666666"/>
          <w:sz w:val="15"/>
          <w:szCs w:val="15"/>
        </w:rPr>
        <w:t xml:space="preserve">Figure 7.1 — Two constraints with materially different clocks. "Day 1", "post-op day 1", "within 24 hours", and "next business day" are not interchangeable; the clock and anchor must be locally defined and tested.</w:t>
      </w:r>
    </w:p>
    <w:p>
      <w:pPr>
        <w:keepNext/>
        <w:spacing w:after="120" w:before="320"/>
      </w:pPr>
      <w:r>
        <w:rPr>
          <w:rFonts w:ascii="Arial" w:cs="Arial" w:eastAsia="Arial" w:hAnsi="Arial"/>
          <w:b/>
          <w:bCs/>
          <w:color w:val="9B1B30"/>
          <w:sz w:val="32"/>
          <w:szCs w:val="32"/>
        </w:rPr>
        <w:t xml:space="preserve">7.6 Exception and contraindication model</w:t>
      </w:r>
    </w:p>
    <w:p>
      <w:pPr>
        <w:keepNext w:val="false"/>
        <w:spacing w:after="120" w:before="0" w:line="276"/>
        <w:jc w:val="left"/>
      </w:pPr>
      <w:r>
        <w:rPr>
          <w:rFonts w:ascii="Arial" w:cs="Arial" w:eastAsia="Arial" w:hAnsi="Arial"/>
          <w:b w:val="false"/>
          <w:bCs w:val="false"/>
          <w:i w:val="false"/>
          <w:iCs w:val="false"/>
          <w:color w:val="0E0E11"/>
          <w:sz w:val="22"/>
          <w:szCs w:val="22"/>
        </w:rPr>
        <w:t xml:space="preserve">For every required step, specify clinical contraindications; patient refusal; goals-of-care exceptions; prior performance elsewhere; transfer exceptions; test or medication unavailability; allergy or intolerance; alternative acceptable action; approved delay reason; documentation requirement; the actor permitted to approve the exception; expiry; and whether the exception changes the denominator.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Exceptions are evidence, not status flags</w:t>
            </w:r>
          </w:p>
          <w:p>
            <w:pPr>
              <w:spacing w:after="60" w:line="264"/>
            </w:pPr>
            <w:r>
              <w:rPr>
                <w:rFonts w:ascii="Arial" w:cs="Arial" w:eastAsia="Arial" w:hAnsi="Arial"/>
                <w:color w:val="0E0E11"/>
                <w:sz w:val="20"/>
                <w:szCs w:val="20"/>
              </w:rPr>
              <w:t xml:space="preserve">An exception must be an evidence-bearing object or event with an actor, a timestamp, and supporting documentation — not a free-text status that erases the original obligation.</w:t>
            </w:r>
          </w:p>
          <w:p>
            <w:pPr>
              <w:spacing w:after="60" w:line="264"/>
            </w:pPr>
            <w:r>
              <w:rPr>
                <w:rFonts w:ascii="Arial" w:cs="Arial" w:eastAsia="Arial" w:hAnsi="Arial"/>
                <w:color w:val="0E0E11"/>
                <w:sz w:val="20"/>
                <w:szCs w:val="20"/>
              </w:rPr>
              <w:t xml:space="preserve">Whether an exception removes an obligation from the denominator or merely annotates it is a measure-definition decision that must be made explicitly, per measure, and recorded.</w:t>
            </w:r>
          </w:p>
        </w:tc>
      </w:tr>
    </w:tbl>
    <w:p>
      <w:pPr>
        <w:spacing w:after="160"/>
      </w:pPr>
    </w:p>
    <w:p>
      <w:pPr>
        <w:keepNext/>
        <w:spacing w:after="120" w:before="320"/>
      </w:pPr>
      <w:r>
        <w:rPr>
          <w:rFonts w:ascii="Arial" w:cs="Arial" w:eastAsia="Arial" w:hAnsi="Arial"/>
          <w:b/>
          <w:bCs/>
          <w:color w:val="9B1B30"/>
          <w:sz w:val="32"/>
          <w:szCs w:val="32"/>
        </w:rPr>
        <w:t xml:space="preserve">7.7 Resource requirement model</w:t>
      </w:r>
    </w:p>
    <w:p>
      <w:pPr>
        <w:keepNext w:val="false"/>
        <w:spacing w:after="120" w:before="0" w:line="276"/>
        <w:jc w:val="left"/>
      </w:pPr>
      <w:r>
        <w:rPr>
          <w:rFonts w:ascii="Arial" w:cs="Arial" w:eastAsia="Arial" w:hAnsi="Arial"/>
          <w:b w:val="false"/>
          <w:bCs w:val="false"/>
          <w:i w:val="false"/>
          <w:iCs w:val="false"/>
          <w:color w:val="0E0E11"/>
          <w:sz w:val="22"/>
          <w:szCs w:val="22"/>
        </w:rPr>
        <w:t xml:space="preserve">Resource analysis is impossible unless each relevant activity can declare its requirement side, and the observation layer can supply the matching evidence side.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4680"/>
        <w:gridCol w:w="4680"/>
      </w:tblGrid>
      <w:tr>
        <w:trPr>
          <w:tblHeader/>
        </w:trPr>
        <w:tc>
          <w:tcPr>
            <w:tcW w:type="dxa" w:w="46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Definition declares</w:t>
            </w:r>
          </w:p>
        </w:tc>
        <w:tc>
          <w:tcPr>
            <w:tcW w:type="dxa" w:w="46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Observation supplies</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role or competency</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Request time</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count</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Acceptance time</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Acceptable substitutions</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Ready time</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Location or bed type</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Queue entry</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Device or equipment class</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Service start</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Consumable or medication availability</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Pause / resume</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Service calendar</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Completion</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Preparation / changeover requirement</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Cancellation</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Scheduled duration</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Assigned resource</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Urgency</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Staffed capacity</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Queue discipline</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Utilisation</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Escalation threshold</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Outage / unavailability</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Whether the requirement is hard, preferred, or informational</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Competing demand</w:t>
            </w:r>
          </w:p>
        </w:tc>
      </w:tr>
    </w:tbl>
    <w:p>
      <w:pPr>
        <w:spacing w:after="200" w:before="60"/>
      </w:pPr>
      <w:r>
        <w:rPr>
          <w:rFonts w:ascii="Arial" w:cs="Arial" w:eastAsia="Arial" w:hAnsi="Arial"/>
          <w:i/>
          <w:iCs/>
          <w:color w:val="666666"/>
          <w:sz w:val="15"/>
          <w:szCs w:val="15"/>
        </w:rPr>
        <w:t xml:space="preserve">Table 7.5 — The two halves of resource analysis. Conclusions require both columns; a missing right-hand column yields "insufficient evidence", never "insufficient resources".</w:t>
      </w:r>
    </w:p>
    <w:p>
      <w:pPr>
        <w:keepNext/>
        <w:spacing w:after="120" w:before="320"/>
      </w:pPr>
      <w:r>
        <w:rPr>
          <w:rFonts w:ascii="Arial" w:cs="Arial" w:eastAsia="Arial" w:hAnsi="Arial"/>
          <w:b/>
          <w:bCs/>
          <w:color w:val="9B1B30"/>
          <w:sz w:val="32"/>
          <w:szCs w:val="32"/>
        </w:rPr>
        <w:t xml:space="preserve">7.8 Outcomes, quality, and safety measures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Each pathway needs a measure bundle, not one score: process completion; process timeliness; branch appropriateness; outcome; complication; balancing measure; utilisation; patient experience; readmission or revisit; safety screening; and data-quality coverage.</w:t>
      </w:r>
    </w:p>
    <w:p>
      <w:pPr>
        <w:keepNext w:val="false"/>
        <w:spacing w:after="120" w:before="0" w:line="276"/>
        <w:jc w:val="left"/>
      </w:pPr>
      <w:r>
        <w:rPr>
          <w:rFonts w:ascii="Arial" w:cs="Arial" w:eastAsia="Arial" w:hAnsi="Arial"/>
          <w:b w:val="false"/>
          <w:bCs w:val="false"/>
          <w:i w:val="false"/>
          <w:iCs w:val="false"/>
          <w:color w:val="0E0E11"/>
          <w:sz w:val="22"/>
          <w:szCs w:val="22"/>
        </w:rPr>
        <w:t xml:space="preserve">Every measure definition requires a stable measure ID and version; measure intent; numerator; denominator; denominator exclusions; denominator exceptions; observation period; stratifiers; risk adjustment if justified; data elements and value sets; missing-data policy; aggregation level; minimum cohort rule; interpretation; owner; approval; test cases; and retirement or supersession history.</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FHIR Quality Measure Implementation Guide and the FHIR Measure and MeasureReport artifacts provide useful interoperability patterns. The internal measurement ledger must still retain event-level evidence that a summary report cannot express.</w:t>
      </w:r>
    </w:p>
    <w:p>
      <w:pPr>
        <w:keepNext/>
        <w:spacing w:after="120" w:before="320"/>
      </w:pPr>
      <w:r>
        <w:rPr>
          <w:rFonts w:ascii="Arial" w:cs="Arial" w:eastAsia="Arial" w:hAnsi="Arial"/>
          <w:b/>
          <w:bCs/>
          <w:color w:val="9B1B30"/>
          <w:sz w:val="32"/>
          <w:szCs w:val="32"/>
        </w:rPr>
        <w:t xml:space="preserve">7.9 Terminology binding sets</w:t>
      </w:r>
    </w:p>
    <w:p>
      <w:pPr>
        <w:keepNext w:val="false"/>
        <w:spacing w:after="120" w:before="0" w:line="276"/>
        <w:jc w:val="left"/>
      </w:pPr>
      <w:r>
        <w:rPr>
          <w:rFonts w:ascii="Arial" w:cs="Arial" w:eastAsia="Arial" w:hAnsi="Arial"/>
          <w:b w:val="false"/>
          <w:bCs w:val="false"/>
          <w:i w:val="false"/>
          <w:iCs w:val="false"/>
          <w:color w:val="0E0E11"/>
          <w:sz w:val="22"/>
          <w:szCs w:val="22"/>
        </w:rPr>
        <w:t xml:space="preserve">Candidate terminology must be stored separately from approved binding members, with an explicit promotion pipeline between them:</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candidate_crosswalk_record</w:t>
            </w:r>
          </w:p>
          <w:p>
            <w:pPr>
              <w:spacing w:after="0" w:before="0" w:line="240"/>
            </w:pPr>
            <w:r>
              <w:rPr>
                <w:rFonts w:ascii="Courier New" w:cs="Courier New" w:eastAsia="Courier New" w:hAnsi="Courier New"/>
                <w:color w:val="FFFFFF"/>
                <w:sz w:val="16"/>
                <w:szCs w:val="16"/>
              </w:rPr>
              <w:t xml:space="preserve">   -&gt; coding review              (is the code correct for the concept?)</w:t>
            </w:r>
          </w:p>
          <w:p>
            <w:pPr>
              <w:spacing w:after="0" w:before="0" w:line="240"/>
            </w:pPr>
            <w:r>
              <w:rPr>
                <w:rFonts w:ascii="Courier New" w:cs="Courier New" w:eastAsia="Courier New" w:hAnsi="Courier New"/>
                <w:color w:val="FFFFFF"/>
                <w:sz w:val="16"/>
                <w:szCs w:val="16"/>
              </w:rPr>
              <w:t xml:space="preserve">   -&gt; clinical applicability     (does this concept belong in this pathway?)</w:t>
            </w:r>
          </w:p>
          <w:p>
            <w:pPr>
              <w:spacing w:after="0" w:before="0" w:line="240"/>
            </w:pPr>
            <w:r>
              <w:rPr>
                <w:rFonts w:ascii="Courier New" w:cs="Courier New" w:eastAsia="Courier New" w:hAnsi="Courier New"/>
                <w:color w:val="FFFFFF"/>
                <w:sz w:val="16"/>
                <w:szCs w:val="16"/>
              </w:rPr>
              <w:t xml:space="preserve">   -&gt; local source mapping       (which local code/panel proves it here?)</w:t>
            </w:r>
          </w:p>
          <w:p>
            <w:pPr>
              <w:spacing w:after="0" w:before="0" w:line="240"/>
            </w:pPr>
            <w:r>
              <w:rPr>
                <w:rFonts w:ascii="Courier New" w:cs="Courier New" w:eastAsia="Courier New" w:hAnsi="Courier New"/>
                <w:color w:val="FFFFFF"/>
                <w:sz w:val="16"/>
                <w:szCs w:val="16"/>
              </w:rPr>
              <w:t xml:space="preserve">   -&gt; binding test               (does a fixture match as intended?)</w:t>
            </w:r>
          </w:p>
          <w:p>
            <w:pPr>
              <w:spacing w:after="0" w:before="0" w:line="240"/>
            </w:pPr>
            <w:r>
              <w:rPr>
                <w:rFonts w:ascii="Courier New" w:cs="Courier New" w:eastAsia="Courier New" w:hAnsi="Courier New"/>
                <w:color w:val="FFFFFF"/>
                <w:sz w:val="16"/>
                <w:szCs w:val="16"/>
              </w:rPr>
              <w:t xml:space="preserve">   -&gt; approved binding member    (executable)</w:t>
            </w:r>
          </w:p>
        </w:tc>
      </w:tr>
    </w:tbl>
    <w:p>
      <w:pPr>
        <w:spacing w:after="200" w:before="60"/>
      </w:pPr>
      <w:r>
        <w:rPr>
          <w:rFonts w:ascii="Arial" w:cs="Arial" w:eastAsia="Arial" w:hAnsi="Arial"/>
          <w:i/>
          <w:iCs/>
          <w:color w:val="666666"/>
          <w:sz w:val="15"/>
          <w:szCs w:val="15"/>
        </w:rPr>
        <w:t xml:space="preserve">Figure 7.2 — The terminology promotion pipeline. Four independent reviews stand between a verified source code and an executable binding.</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binding set is versioned and digested independently of the clinical definition, because terminology releases and clinical content change on different cadences. A LOINC or SNOMED CT release that retires a bound concept must invalidate the binding set version without invalidating the clinical definition.</w:t>
      </w:r>
    </w:p>
    <w:p>
      <w:pPr>
        <w:keepNext/>
        <w:spacing w:after="160" w:before="400"/>
      </w:pPr>
      <w:r>
        <w:rPr>
          <w:rFonts w:ascii="Arial" w:cs="Arial" w:eastAsia="Arial" w:hAnsi="Arial"/>
          <w:b/>
          <w:bCs/>
          <w:color w:val="9B1B30"/>
          <w:sz w:val="38"/>
          <w:szCs w:val="38"/>
        </w:rPr>
        <w:t xml:space="preserve">8. Mapping the supplied pathway fields into a computable package</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workbook is preserved as immutable source evidence. Normalisation creates new governed entities with field-level lineage back to the source row and claim.</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500"/>
        <w:gridCol w:w="2400"/>
        <w:gridCol w:w="4460"/>
      </w:tblGrid>
      <w:tr>
        <w:trPr>
          <w:tblHeader/>
        </w:trPr>
        <w:tc>
          <w:tcPr>
            <w:tcW w:type="dxa" w:w="2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Source content family</w:t>
            </w:r>
          </w:p>
        </w:tc>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Target use</w:t>
            </w:r>
          </w:p>
        </w:tc>
        <w:tc>
          <w:tcPr>
            <w:tcW w:type="dxa" w:w="44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Required transformation</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Rank, pathway, DRG codes</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Identity and reconciliation</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Stable IDs; explicit mapping purpose; versioned code sets</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Admission criteria</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Applicability</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Inclusion/exclusion predicates and confirmation policy</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Risk stratification</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Branch / applicability</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Individual variables, thresholds, missing-data policy</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Initial labs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Expected activities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Separate order, collection, result, verification, threshold</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Imaging</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Expected activities</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Order, acquisition, interpretation, acknowledgment</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Diagnostic interventions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Expected activities / branches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Split tests and conditional procedures</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Medical interventions</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Activities and goals</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Separate therapy, target, monitoring, contraindications</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Surgical interventions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Procedure graph</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Planned, scheduled, started, completed, aborted states</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Time-critical actions</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Temporal constraints</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Named anchors and signed bounds</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Consults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Task / resource lifecycle</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Request, acceptance, queue, start, complete, recommendation</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Day 1 / 2 / 3+ milestones</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Stage goals</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Replace narrative day labels with explicit anchors and windows</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Monitoring</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Repeat rules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Cadence, trigger, stop rule, missing-observation behaviour</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Nutrition / VTE</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Conditional bundles</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Risk, contraindication, alternative, documentation</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Discharge criteria</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Terminal conditions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state and evidence, not only an event name</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Discharge planning</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Task graph</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Ownership, dependencies, readiness, external coordination</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 metrics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Measure candidates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Formal numerator / denominator / exclusions</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Complications</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Safety and outcome screens</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Event definitions, present-on-admission, adjudication</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Readmission drivers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Risk hypotheses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Never treat prose as causal attribution</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 and evidence fields</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Provenance</w:t>
            </w:r>
          </w:p>
        </w:tc>
        <w:tc>
          <w:tcPr>
            <w:tcW w:type="dxa" w:w="4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Claim-level trace to definition component</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Terminology fields</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Candidate bindings</w:t>
            </w:r>
          </w:p>
        </w:tc>
        <w:tc>
          <w:tcPr>
            <w:tcW w:type="dxa" w:w="4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Review queue, local map, version, semantic role</w:t>
            </w:r>
          </w:p>
        </w:tc>
      </w:tr>
    </w:tbl>
    <w:p>
      <w:pPr>
        <w:spacing w:after="200" w:before="60"/>
      </w:pPr>
      <w:r>
        <w:rPr>
          <w:rFonts w:ascii="Arial" w:cs="Arial" w:eastAsia="Arial" w:hAnsi="Arial"/>
          <w:i/>
          <w:iCs/>
          <w:color w:val="666666"/>
          <w:sz w:val="15"/>
          <w:szCs w:val="15"/>
        </w:rPr>
        <w:t xml:space="preserve">Table 8.1 — Field-family mapping. Each row is a transformation, not a copy.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Template reuse without silent sharing</w:t>
            </w:r>
          </w:p>
          <w:p>
            <w:pPr>
              <w:spacing w:after="60" w:line="264"/>
            </w:pPr>
            <w:r>
              <w:rPr>
                <w:rFonts w:ascii="Arial" w:cs="Arial" w:eastAsia="Arial" w:hAnsi="Arial"/>
                <w:color w:val="0E0E11"/>
                <w:sz w:val="20"/>
                <w:szCs w:val="20"/>
              </w:rPr>
              <w:t xml:space="preserve">The dataset contains very large duplicate narrative groups: several day, monitoring, discharge, quality, and readmission fields repeat across as many as 120 pathways.</w:t>
            </w:r>
          </w:p>
          <w:p>
            <w:pPr>
              <w:spacing w:after="60" w:line="264"/>
            </w:pPr>
            <w:r>
              <w:rPr>
                <w:rFonts w:ascii="Arial" w:cs="Arial" w:eastAsia="Arial" w:hAnsi="Arial"/>
                <w:color w:val="0E0E11"/>
                <w:sz w:val="20"/>
                <w:szCs w:val="20"/>
              </w:rPr>
              <w:t xml:space="preserve">Reuse can support a template library. Identical source text must NOT create one silently shared executable rule. Each pathway version needs its own explicit adoption, its own overrides, its own clinical review, and its own provenance — otherwise a single template edit silently rewrites the clinical expectation for 120 pathways at once.</w:t>
            </w:r>
          </w:p>
        </w:tc>
      </w:tr>
    </w:tbl>
    <w:p>
      <w:pPr>
        <w:spacing w:after="200"/>
      </w:pPr>
    </w:p>
    <w:p>
      <w:pPr>
        <w:keepNext/>
        <w:spacing w:after="160" w:before="400"/>
      </w:pPr>
      <w:r>
        <w:rPr>
          <w:rFonts w:ascii="Arial" w:cs="Arial" w:eastAsia="Arial" w:hAnsi="Arial"/>
          <w:b/>
          <w:bCs/>
          <w:color w:val="9B1B30"/>
          <w:sz w:val="38"/>
          <w:szCs w:val="38"/>
        </w:rPr>
        <w:t xml:space="preserve">9. Enterprise OCEL object and event model</w:t>
      </w:r>
    </w:p>
    <w:p>
      <w:pPr>
        <w:keepNext/>
        <w:spacing w:after="120" w:before="320"/>
      </w:pPr>
      <w:r>
        <w:rPr>
          <w:rFonts w:ascii="Arial" w:cs="Arial" w:eastAsia="Arial" w:hAnsi="Arial"/>
          <w:b/>
          <w:bCs/>
          <w:color w:val="9B1B30"/>
          <w:sz w:val="32"/>
          <w:szCs w:val="32"/>
        </w:rPr>
        <w:t xml:space="preserve">9.1 Minimum object types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200"/>
        <w:gridCol w:w="6160"/>
      </w:tblGrid>
      <w:tr>
        <w:trPr>
          <w:tblHeader/>
        </w:trPr>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Object type</w:t>
            </w:r>
          </w:p>
        </w:tc>
        <w:tc>
          <w:tcPr>
            <w:tcW w:type="dxa" w:w="61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Purpose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Longitudinal person identity</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Encounter</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Administrative / clinical encounter boundary</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EpisodeOfCare</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Cross-encounter episode where appropriate</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PathwayInstance</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Patient-specific pinned pathway version</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PathwayDefinitionVersion</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Immutable normative reference</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Condition</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Suspected / confirmed / resolved applicability evidence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Order / ServiceRequest</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Requested clinical service</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Specimen</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Collected material and its lifecycle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Observation / Result</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Measurement and interpretation</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DiagnosticReport</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Grouped / final diagnostic conclusion</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ImagingStudy</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Acquisition object</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MedicationRequest</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Medication intent</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MedicationAdministration / Dose</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Observed administration</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Procedure / ORCase</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procedure and case lifecycle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Task / QueueWorkItem</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Work request and operational waiting</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Appointment / ScheduleSlot</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Planned time and capacity</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Location / Bed</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Place and capacity</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PractitionerRole / CareTeam</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Responsible role or team</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Resource / Device</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Equipment or constrained asset</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Barrier</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Blocking condition and resolution lifecycle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SafetyEvent</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Incident / screen / report / adjudication link</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Outcome</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Disposition or measured result</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SourceRecord</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Optional lineage object for high-risk reconciliation</w:t>
            </w:r>
          </w:p>
        </w:tc>
      </w:tr>
    </w:tbl>
    <w:p>
      <w:pPr>
        <w:spacing w:after="200" w:before="60"/>
      </w:pPr>
      <w:r>
        <w:rPr>
          <w:rFonts w:ascii="Arial" w:cs="Arial" w:eastAsia="Arial" w:hAnsi="Arial"/>
          <w:i/>
          <w:iCs/>
          <w:color w:val="666666"/>
          <w:sz w:val="15"/>
          <w:szCs w:val="15"/>
        </w:rPr>
        <w:t xml:space="preserve">Table 9.1 — Minimum object types. Object IDs must be stable, source-scoped, and reconciled through governed identity rules. A patient identifier from one source must not be assumed identical to an identifier from another without a crosswalk or a master-identity decision.</w:t>
      </w:r>
    </w:p>
    <w:p>
      <w:pPr>
        <w:keepNext/>
        <w:spacing w:after="120" w:before="320"/>
      </w:pPr>
      <w:r>
        <w:rPr>
          <w:rFonts w:ascii="Arial" w:cs="Arial" w:eastAsia="Arial" w:hAnsi="Arial"/>
          <w:b/>
          <w:bCs/>
          <w:color w:val="9B1B30"/>
          <w:sz w:val="32"/>
          <w:szCs w:val="32"/>
        </w:rPr>
        <w:t xml:space="preserve">9.2 Qualified relationships</w:t>
      </w:r>
    </w:p>
    <w:p>
      <w:pPr>
        <w:keepNext w:val="false"/>
        <w:spacing w:after="120" w:before="0" w:line="276"/>
        <w:jc w:val="left"/>
      </w:pPr>
      <w:r>
        <w:rPr>
          <w:rFonts w:ascii="Arial" w:cs="Arial" w:eastAsia="Arial" w:hAnsi="Arial"/>
          <w:b w:val="false"/>
          <w:bCs w:val="false"/>
          <w:i w:val="false"/>
          <w:iCs w:val="false"/>
          <w:color w:val="0E0E11"/>
          <w:sz w:val="22"/>
          <w:szCs w:val="22"/>
        </w:rPr>
        <w:t xml:space="preserve">Generic "related to" links are inadequate: they make it impossible to tell whether an event happened to a patient, was performed by a team, or was blocked by a barrier.</w:t>
      </w:r>
    </w:p>
    <w:p>
      <w:pPr>
        <w:keepNext/>
        <w:spacing w:after="100" w:before="240"/>
      </w:pPr>
      <w:r>
        <w:rPr>
          <w:rFonts w:ascii="Arial" w:cs="Arial" w:eastAsia="Arial" w:hAnsi="Arial"/>
          <w:b/>
          <w:bCs/>
          <w:color w:val="0E0E11"/>
          <w:sz w:val="26"/>
          <w:szCs w:val="26"/>
        </w:rPr>
        <w:t xml:space="preserve">Event–object qualifiers</w:t>
      </w:r>
    </w:p>
    <w:p>
      <w:pPr>
        <w:keepNext w:val="false"/>
        <w:spacing w:after="120" w:before="0" w:line="276"/>
        <w:jc w:val="left"/>
      </w:pPr>
      <w:r>
        <w:rPr>
          <w:rFonts w:ascii="Arial" w:cs="Arial" w:eastAsia="Arial" w:hAnsi="Arial"/>
          <w:b w:val="false"/>
          <w:bCs w:val="false"/>
          <w:i w:val="false"/>
          <w:iCs w:val="false"/>
          <w:color w:val="0E0E11"/>
          <w:sz w:val="22"/>
          <w:szCs w:val="22"/>
        </w:rPr>
        <w:t xml:space="preserve">subject; encounter; episode; pathway_instance; requested_service; specimen; result; medication; procedure; task; performed_at; assigned_resource; performer; responsible_team; caused_queue_entry; blocked_by; satisfies; supports_exception; supports_assignment; source_record.</w:t>
      </w:r>
    </w:p>
    <w:p>
      <w:pPr>
        <w:keepNext/>
        <w:spacing w:after="100" w:before="240"/>
      </w:pPr>
      <w:r>
        <w:rPr>
          <w:rFonts w:ascii="Arial" w:cs="Arial" w:eastAsia="Arial" w:hAnsi="Arial"/>
          <w:b/>
          <w:bCs/>
          <w:color w:val="0E0E11"/>
          <w:sz w:val="26"/>
          <w:szCs w:val="26"/>
        </w:rPr>
        <w:t xml:space="preserve">Object–object qualifiers</w:t>
      </w:r>
    </w:p>
    <w:p>
      <w:pPr>
        <w:keepNext w:val="false"/>
        <w:spacing w:after="120" w:before="0" w:line="276"/>
        <w:jc w:val="left"/>
      </w:pPr>
      <w:r>
        <w:rPr>
          <w:rFonts w:ascii="Arial" w:cs="Arial" w:eastAsia="Arial" w:hAnsi="Arial"/>
          <w:b w:val="false"/>
          <w:bCs w:val="false"/>
          <w:i w:val="false"/>
          <w:iCs w:val="false"/>
          <w:color w:val="0E0E11"/>
          <w:sz w:val="22"/>
          <w:szCs w:val="22"/>
        </w:rPr>
        <w:t xml:space="preserve">Encounter belongs to patient; pathway instance governs encounter or episode; result fulfils order; specimen supports result; medication administration fulfils request; task supports procedure; barrier blocks task; resource assigned to task; child encounter belongs to episode; newborn linked to maternal or delivery episode; definition version governs pathway instance.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4"/>
              <w:bottom w:val="none" w:color="FFFFFF" w:sz="0"/>
              <w:right w:val="none" w:color="FFFFFF" w:sz="0"/>
            </w:tcBorders>
            <w:shd w:fill="F0FBF9"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The three qualifiers that carry the measurement</w:t>
            </w:r>
          </w:p>
          <w:p>
            <w:pPr>
              <w:spacing w:after="60" w:line="264"/>
            </w:pPr>
            <w:r>
              <w:rPr>
                <w:rFonts w:ascii="Arial" w:cs="Arial" w:eastAsia="Arial" w:hAnsi="Arial"/>
                <w:color w:val="0E0E11"/>
                <w:sz w:val="20"/>
                <w:szCs w:val="20"/>
              </w:rPr>
              <w:t xml:space="preserve">satisfies — this event is the evidence that an expected activity occurred.</w:t>
            </w:r>
          </w:p>
          <w:p>
            <w:pPr>
              <w:spacing w:after="60" w:line="264"/>
            </w:pPr>
            <w:r>
              <w:rPr>
                <w:rFonts w:ascii="Arial" w:cs="Arial" w:eastAsia="Arial" w:hAnsi="Arial"/>
                <w:color w:val="0E0E11"/>
                <w:sz w:val="20"/>
                <w:szCs w:val="20"/>
              </w:rPr>
              <w:t xml:space="preserve">supports_exception — this event is the evidence that an obligation was validly excepted.</w:t>
            </w:r>
          </w:p>
          <w:p>
            <w:pPr>
              <w:spacing w:after="60" w:line="264"/>
            </w:pPr>
            <w:r>
              <w:rPr>
                <w:rFonts w:ascii="Arial" w:cs="Arial" w:eastAsia="Arial" w:hAnsi="Arial"/>
                <w:color w:val="0E0E11"/>
                <w:sz w:val="20"/>
                <w:szCs w:val="20"/>
              </w:rPr>
              <w:t xml:space="preserve">supports_assignment — this event is the evidence that the pathway applied to this patient.</w:t>
            </w:r>
          </w:p>
          <w:p>
            <w:pPr>
              <w:spacing w:after="60" w:line="264"/>
            </w:pPr>
            <w:r>
              <w:rPr>
                <w:rFonts w:ascii="Arial" w:cs="Arial" w:eastAsia="Arial" w:hAnsi="Arial"/>
                <w:color w:val="0E0E11"/>
                <w:sz w:val="20"/>
                <w:szCs w:val="20"/>
              </w:rPr>
              <w:t xml:space="preserve">These three make the measurement ledger auditable at the event level. Without them, a result can be stated but not defended.</w:t>
            </w:r>
          </w:p>
        </w:tc>
      </w:tr>
    </w:tbl>
    <w:p>
      <w:pPr>
        <w:spacing w:after="160"/>
      </w:pPr>
    </w:p>
    <w:p>
      <w:pPr>
        <w:keepNext/>
        <w:spacing w:after="120" w:before="320"/>
      </w:pPr>
      <w:r>
        <w:rPr>
          <w:rFonts w:ascii="Arial" w:cs="Arial" w:eastAsia="Arial" w:hAnsi="Arial"/>
          <w:b/>
          <w:bCs/>
          <w:color w:val="9B1B30"/>
          <w:sz w:val="32"/>
          <w:szCs w:val="32"/>
        </w:rPr>
        <w:t xml:space="preserve">9.3 Event lifecycle</w:t>
      </w:r>
    </w:p>
    <w:p>
      <w:pPr>
        <w:keepNext w:val="false"/>
        <w:spacing w:after="120" w:before="0" w:line="276"/>
        <w:jc w:val="left"/>
      </w:pPr>
      <w:r>
        <w:rPr>
          <w:rFonts w:ascii="Arial" w:cs="Arial" w:eastAsia="Arial" w:hAnsi="Arial"/>
          <w:b w:val="false"/>
          <w:bCs w:val="false"/>
          <w:i w:val="false"/>
          <w:iCs w:val="false"/>
          <w:color w:val="0E0E11"/>
          <w:sz w:val="22"/>
          <w:szCs w:val="22"/>
        </w:rPr>
        <w:t xml:space="preserve">Events must represent state transitions that matter to process measurement — not snapshots.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OPERATIONAL SERVICE LIFECYCLE      CLINICAL DIAGNOSTIC LIFECYCLE</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service_requested                  test_ordered</w:t>
            </w:r>
          </w:p>
          <w:p>
            <w:pPr>
              <w:spacing w:after="0" w:before="0" w:line="240"/>
            </w:pPr>
            <w:r>
              <w:rPr>
                <w:rFonts w:ascii="Courier New" w:cs="Courier New" w:eastAsia="Courier New" w:hAnsi="Courier New"/>
                <w:color w:val="FFFFFF"/>
                <w:sz w:val="16"/>
                <w:szCs w:val="16"/>
              </w:rPr>
              <w:t xml:space="preserve">service_accepted                   specimen_collected</w:t>
            </w:r>
          </w:p>
          <w:p>
            <w:pPr>
              <w:spacing w:after="0" w:before="0" w:line="240"/>
            </w:pPr>
            <w:r>
              <w:rPr>
                <w:rFonts w:ascii="Courier New" w:cs="Courier New" w:eastAsia="Courier New" w:hAnsi="Courier New"/>
                <w:color w:val="FFFFFF"/>
                <w:sz w:val="16"/>
                <w:szCs w:val="16"/>
              </w:rPr>
              <w:t xml:space="preserve">service_scheduled                  specimen_received</w:t>
            </w:r>
          </w:p>
          <w:p>
            <w:pPr>
              <w:spacing w:after="0" w:before="0" w:line="240"/>
            </w:pPr>
            <w:r>
              <w:rPr>
                <w:rFonts w:ascii="Courier New" w:cs="Courier New" w:eastAsia="Courier New" w:hAnsi="Courier New"/>
                <w:color w:val="FFFFFF"/>
                <w:sz w:val="16"/>
                <w:szCs w:val="16"/>
              </w:rPr>
              <w:t xml:space="preserve">patient_ready                      result_preliminary</w:t>
            </w:r>
          </w:p>
          <w:p>
            <w:pPr>
              <w:spacing w:after="0" w:before="0" w:line="240"/>
            </w:pPr>
            <w:r>
              <w:rPr>
                <w:rFonts w:ascii="Courier New" w:cs="Courier New" w:eastAsia="Courier New" w:hAnsi="Courier New"/>
                <w:color w:val="FFFFFF"/>
                <w:sz w:val="16"/>
                <w:szCs w:val="16"/>
              </w:rPr>
              <w:t xml:space="preserve">resource_ready                     result_final</w:t>
            </w:r>
          </w:p>
          <w:p>
            <w:pPr>
              <w:spacing w:after="0" w:before="0" w:line="240"/>
            </w:pPr>
            <w:r>
              <w:rPr>
                <w:rFonts w:ascii="Courier New" w:cs="Courier New" w:eastAsia="Courier New" w:hAnsi="Courier New"/>
                <w:color w:val="FFFFFF"/>
                <w:sz w:val="16"/>
                <w:szCs w:val="16"/>
              </w:rPr>
              <w:t xml:space="preserve">queue_entered                      result_corrected</w:t>
            </w:r>
          </w:p>
          <w:p>
            <w:pPr>
              <w:spacing w:after="0" w:before="0" w:line="240"/>
            </w:pPr>
            <w:r>
              <w:rPr>
                <w:rFonts w:ascii="Courier New" w:cs="Courier New" w:eastAsia="Courier New" w:hAnsi="Courier New"/>
                <w:color w:val="FFFFFF"/>
                <w:sz w:val="16"/>
                <w:szCs w:val="16"/>
              </w:rPr>
              <w:t xml:space="preserve">service_started                    result_acknowledged</w:t>
            </w:r>
          </w:p>
          <w:p>
            <w:pPr>
              <w:spacing w:after="0" w:before="0" w:line="240"/>
            </w:pPr>
            <w:r>
              <w:rPr>
                <w:rFonts w:ascii="Courier New" w:cs="Courier New" w:eastAsia="Courier New" w:hAnsi="Courier New"/>
                <w:color w:val="FFFFFF"/>
                <w:sz w:val="16"/>
                <w:szCs w:val="16"/>
              </w:rPr>
              <w:t xml:space="preserve">service_paused</w:t>
            </w:r>
          </w:p>
          <w:p>
            <w:pPr>
              <w:spacing w:after="0" w:before="0" w:line="240"/>
            </w:pPr>
            <w:r>
              <w:rPr>
                <w:rFonts w:ascii="Courier New" w:cs="Courier New" w:eastAsia="Courier New" w:hAnsi="Courier New"/>
                <w:color w:val="FFFFFF"/>
                <w:sz w:val="16"/>
                <w:szCs w:val="16"/>
              </w:rPr>
              <w:t xml:space="preserve">service_resumed</w:t>
            </w:r>
          </w:p>
          <w:p>
            <w:pPr>
              <w:spacing w:after="0" w:before="0" w:line="240"/>
            </w:pPr>
            <w:r>
              <w:rPr>
                <w:rFonts w:ascii="Courier New" w:cs="Courier New" w:eastAsia="Courier New" w:hAnsi="Courier New"/>
                <w:color w:val="FFFFFF"/>
                <w:sz w:val="16"/>
                <w:szCs w:val="16"/>
              </w:rPr>
              <w:t xml:space="preserve">service_completed</w:t>
            </w:r>
          </w:p>
          <w:p>
            <w:pPr>
              <w:spacing w:after="0" w:before="0" w:line="240"/>
            </w:pPr>
            <w:r>
              <w:rPr>
                <w:rFonts w:ascii="Courier New" w:cs="Courier New" w:eastAsia="Courier New" w:hAnsi="Courier New"/>
                <w:color w:val="FFFFFF"/>
                <w:sz w:val="16"/>
                <w:szCs w:val="16"/>
              </w:rPr>
              <w:t xml:space="preserve">service_canceled</w:t>
            </w:r>
          </w:p>
        </w:tc>
      </w:tr>
    </w:tbl>
    <w:p>
      <w:pPr>
        <w:spacing w:after="200" w:before="60"/>
      </w:pPr>
      <w:r>
        <w:rPr>
          <w:rFonts w:ascii="Arial" w:cs="Arial" w:eastAsia="Arial" w:hAnsi="Arial"/>
          <w:i/>
          <w:iCs/>
          <w:color w:val="666666"/>
          <w:sz w:val="15"/>
          <w:szCs w:val="15"/>
        </w:rPr>
        <w:t xml:space="preserve">Figure 9.1 — Two lifecycles that a single "test-ordered" or "procedure" event cannot express.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single generic test-ordered event cannot prove specimen collection or result availability. A single procedure snapshot cannot distinguish planned, completed, aborted, or billed states. </w:t>
      </w:r>
      <w:r>
        <w:rPr>
          <w:rFonts w:ascii="Arial" w:cs="Arial" w:eastAsia="Arial" w:hAnsi="Arial"/>
          <w:b/>
          <w:bCs/>
          <w:i w:val="false"/>
          <w:iCs w:val="false"/>
          <w:color w:val="0E0E11"/>
          <w:sz w:val="22"/>
          <w:szCs w:val="22"/>
        </w:rPr>
        <w:t xml:space="preserve">This is the single most consequential gap between the current OCEL projection and pathway measurement.</w:t>
      </w:r>
    </w:p>
    <w:p>
      <w:pPr>
        <w:keepNext/>
        <w:spacing w:after="120" w:before="320"/>
      </w:pPr>
      <w:r>
        <w:rPr>
          <w:rFonts w:ascii="Arial" w:cs="Arial" w:eastAsia="Arial" w:hAnsi="Arial"/>
          <w:b/>
          <w:bCs/>
          <w:color w:val="9B1B30"/>
          <w:sz w:val="32"/>
          <w:szCs w:val="32"/>
        </w:rPr>
        <w:t xml:space="preserve">9.4 Timestamp semantics</w:t>
      </w:r>
    </w:p>
    <w:p>
      <w:pPr>
        <w:keepNext w:val="false"/>
        <w:spacing w:after="120" w:before="0" w:line="276"/>
        <w:jc w:val="left"/>
      </w:pPr>
      <w:r>
        <w:rPr>
          <w:rFonts w:ascii="Arial" w:cs="Arial" w:eastAsia="Arial" w:hAnsi="Arial"/>
          <w:b w:val="false"/>
          <w:bCs w:val="false"/>
          <w:i w:val="false"/>
          <w:iCs w:val="false"/>
          <w:color w:val="0E0E11"/>
          <w:sz w:val="22"/>
          <w:szCs w:val="22"/>
        </w:rPr>
        <w:t xml:space="preserve">Every event needs ten timestamp-related attributes: occurrence or clinical time; recorded time; received or ingested time; source update or version time; source timezone; timestamp role; precision; source record and version; correction or cancellation status; and provenance.</w:t>
      </w:r>
    </w:p>
    <w:p>
      <w:pPr>
        <w:keepNext w:val="false"/>
        <w:spacing w:after="120" w:before="0" w:line="276"/>
        <w:jc w:val="left"/>
      </w:pPr>
      <w:r>
        <w:rPr>
          <w:rFonts w:ascii="Arial" w:cs="Arial" w:eastAsia="Arial" w:hAnsi="Arial"/>
          <w:b w:val="false"/>
          <w:bCs w:val="false"/>
          <w:i w:val="false"/>
          <w:iCs w:val="false"/>
          <w:color w:val="0E0E11"/>
          <w:sz w:val="22"/>
          <w:szCs w:val="22"/>
        </w:rPr>
        <w:t xml:space="preserve">Clinical order authored time, desired start, specimen collection, result availability, verification, and acknowledgment are different anchors. Binding a constraint to the wrong one produces a number that is precise, reproducible, and wrong.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Late-arriving records</w:t>
            </w:r>
          </w:p>
          <w:p>
            <w:pPr>
              <w:spacing w:after="60" w:line="264"/>
            </w:pPr>
            <w:r>
              <w:rPr>
                <w:rFonts w:ascii="Arial" w:cs="Arial" w:eastAsia="Arial" w:hAnsi="Arial"/>
                <w:color w:val="0E0E11"/>
                <w:sz w:val="20"/>
                <w:szCs w:val="20"/>
              </w:rPr>
              <w:t xml:space="preserve">Late-arriving records must trigger a superseding measurement run. They must not silently rewrite a previously reported result.</w:t>
            </w:r>
          </w:p>
          <w:p>
            <w:pPr>
              <w:spacing w:after="60" w:line="264"/>
            </w:pPr>
            <w:r>
              <w:rPr>
                <w:rFonts w:ascii="Arial" w:cs="Arial" w:eastAsia="Arial" w:hAnsi="Arial"/>
                <w:color w:val="0E0E11"/>
                <w:sz w:val="20"/>
                <w:szCs w:val="20"/>
              </w:rPr>
              <w:t xml:space="preserve">A result that was reported to a clinical reviewer is a fact about what the system said at that time. Erasing it destroys the audit trail and makes shadow-mode validation meaningless.</w:t>
            </w:r>
          </w:p>
        </w:tc>
      </w:tr>
    </w:tbl>
    <w:p>
      <w:pPr>
        <w:spacing w:after="160"/>
      </w:pPr>
    </w:p>
    <w:p>
      <w:pPr>
        <w:keepNext/>
        <w:spacing w:after="120" w:before="320"/>
      </w:pPr>
      <w:r>
        <w:rPr>
          <w:rFonts w:ascii="Arial" w:cs="Arial" w:eastAsia="Arial" w:hAnsi="Arial"/>
          <w:b/>
          <w:bCs/>
          <w:color w:val="9B1B30"/>
          <w:sz w:val="32"/>
          <w:szCs w:val="32"/>
        </w:rPr>
        <w:t xml:space="preserve">9.5 Projection integrity changes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current OCEL projection must be hardened before pathway measurement can begin. Eleven changes are required:</w:t>
      </w:r>
    </w:p>
    <w:p>
      <w:pPr>
        <w:pStyle w:val="ListParagraph"/>
        <w:numPr>
          <w:ilvl w:val="0"/>
          <w:numId w:val="4"/>
        </w:numPr>
        <w:spacing w:after="60" w:before="20" w:line="276"/>
      </w:pPr>
      <w:r>
        <w:rPr>
          <w:rFonts w:ascii="Arial" w:cs="Arial" w:eastAsia="Arial" w:hAnsi="Arial"/>
          <w:color w:val="0E0E11"/>
          <w:sz w:val="22"/>
          <w:szCs w:val="22"/>
        </w:rPr>
        <w:t xml:space="preserve">Compute full bounded content digests — not a signature based only on row count and maximum event time.</w:t>
      </w:r>
    </w:p>
    <w:p>
      <w:pPr>
        <w:pStyle w:val="ListParagraph"/>
        <w:numPr>
          <w:ilvl w:val="0"/>
          <w:numId w:val="4"/>
        </w:numPr>
        <w:spacing w:after="60" w:before="20" w:line="276"/>
      </w:pPr>
      <w:r>
        <w:rPr>
          <w:rFonts w:ascii="Arial" w:cs="Arial" w:eastAsia="Arial" w:hAnsi="Arial"/>
          <w:color w:val="0E0E11"/>
          <w:sz w:val="22"/>
          <w:szCs w:val="22"/>
        </w:rPr>
        <w:t xml:space="preserve">Make source windows explicit and identical for projection and reconciliation.</w:t>
      </w:r>
    </w:p>
    <w:p>
      <w:pPr>
        <w:pStyle w:val="ListParagraph"/>
        <w:numPr>
          <w:ilvl w:val="0"/>
          <w:numId w:val="4"/>
        </w:numPr>
        <w:spacing w:after="60" w:before="20" w:line="276"/>
      </w:pPr>
      <w:r>
        <w:rPr>
          <w:rFonts w:ascii="Arial" w:cs="Arial" w:eastAsia="Arial" w:hAnsi="Arial"/>
          <w:color w:val="0E0E11"/>
          <w:sz w:val="22"/>
          <w:szCs w:val="22"/>
        </w:rPr>
        <w:t xml:space="preserve">Reconcile insertions, updates, cancellations, and retractions.</w:t>
      </w:r>
    </w:p>
    <w:p>
      <w:pPr>
        <w:pStyle w:val="ListParagraph"/>
        <w:numPr>
          <w:ilvl w:val="0"/>
          <w:numId w:val="4"/>
        </w:numPr>
        <w:spacing w:after="60" w:before="20" w:line="276"/>
      </w:pPr>
      <w:r>
        <w:rPr>
          <w:rFonts w:ascii="Arial" w:cs="Arial" w:eastAsia="Arial" w:hAnsi="Arial"/>
          <w:color w:val="0E0E11"/>
          <w:sz w:val="22"/>
          <w:szCs w:val="22"/>
        </w:rPr>
        <w:t xml:space="preserve">Prevent a narrow-window projection from erasing previously known object attributes.</w:t>
      </w:r>
    </w:p>
    <w:p>
      <w:pPr>
        <w:pStyle w:val="ListParagraph"/>
        <w:numPr>
          <w:ilvl w:val="0"/>
          <w:numId w:val="4"/>
        </w:numPr>
        <w:spacing w:after="60" w:before="20" w:line="276"/>
      </w:pPr>
      <w:r>
        <w:rPr>
          <w:rFonts w:ascii="Arial" w:cs="Arial" w:eastAsia="Arial" w:hAnsi="Arial"/>
          <w:color w:val="0E0E11"/>
          <w:sz w:val="22"/>
          <w:szCs w:val="22"/>
        </w:rPr>
        <w:t xml:space="preserve">Store immutable source record and version references.</w:t>
      </w:r>
    </w:p>
    <w:p>
      <w:pPr>
        <w:pStyle w:val="ListParagraph"/>
        <w:numPr>
          <w:ilvl w:val="0"/>
          <w:numId w:val="4"/>
        </w:numPr>
        <w:spacing w:after="60" w:before="20" w:line="276"/>
      </w:pPr>
      <w:r>
        <w:rPr>
          <w:rFonts w:ascii="Arial" w:cs="Arial" w:eastAsia="Arial" w:hAnsi="Arial"/>
          <w:color w:val="0E0E11"/>
          <w:sz w:val="22"/>
          <w:szCs w:val="22"/>
        </w:rPr>
        <w:t xml:space="preserve">Validate required object relationships by source class.</w:t>
      </w:r>
    </w:p>
    <w:p>
      <w:pPr>
        <w:pStyle w:val="ListParagraph"/>
        <w:numPr>
          <w:ilvl w:val="0"/>
          <w:numId w:val="4"/>
        </w:numPr>
        <w:spacing w:after="60" w:before="20" w:line="276"/>
      </w:pPr>
      <w:r>
        <w:rPr>
          <w:rFonts w:ascii="Arial" w:cs="Arial" w:eastAsia="Arial" w:hAnsi="Arial"/>
          <w:color w:val="0E0E11"/>
          <w:sz w:val="22"/>
          <w:szCs w:val="22"/>
        </w:rPr>
        <w:t xml:space="preserve">Quarantine orphan events rather than admitting them.</w:t>
      </w:r>
    </w:p>
    <w:p>
      <w:pPr>
        <w:pStyle w:val="ListParagraph"/>
        <w:numPr>
          <w:ilvl w:val="0"/>
          <w:numId w:val="4"/>
        </w:numPr>
        <w:spacing w:after="60" w:before="20" w:line="276"/>
      </w:pPr>
      <w:r>
        <w:rPr>
          <w:rFonts w:ascii="Arial" w:cs="Arial" w:eastAsia="Arial" w:hAnsi="Arial"/>
          <w:color w:val="0E0E11"/>
          <w:sz w:val="22"/>
          <w:szCs w:val="22"/>
        </w:rPr>
        <w:t xml:space="preserve">Record projector version and configuration on every projected event.</w:t>
      </w:r>
    </w:p>
    <w:p>
      <w:pPr>
        <w:pStyle w:val="ListParagraph"/>
        <w:numPr>
          <w:ilvl w:val="0"/>
          <w:numId w:val="4"/>
        </w:numPr>
        <w:spacing w:after="60" w:before="20" w:line="276"/>
      </w:pPr>
      <w:r>
        <w:rPr>
          <w:rFonts w:ascii="Arial" w:cs="Arial" w:eastAsia="Arial" w:hAnsi="Arial"/>
          <w:color w:val="0E0E11"/>
          <w:sz w:val="22"/>
          <w:szCs w:val="22"/>
        </w:rPr>
        <w:t xml:space="preserve">Expose completeness and freshness by event family.</w:t>
      </w:r>
    </w:p>
    <w:p>
      <w:pPr>
        <w:pStyle w:val="ListParagraph"/>
        <w:numPr>
          <w:ilvl w:val="0"/>
          <w:numId w:val="4"/>
        </w:numPr>
        <w:spacing w:after="60" w:before="20" w:line="276"/>
      </w:pPr>
      <w:r>
        <w:rPr>
          <w:rFonts w:ascii="Arial" w:cs="Arial" w:eastAsia="Arial" w:hAnsi="Arial"/>
          <w:color w:val="0E0E11"/>
          <w:sz w:val="22"/>
          <w:szCs w:val="22"/>
        </w:rPr>
        <w:t xml:space="preserve">Test replay idempotency as a first-class acceptance criterion.</w:t>
      </w:r>
    </w:p>
    <w:p>
      <w:pPr>
        <w:pStyle w:val="ListParagraph"/>
        <w:numPr>
          <w:ilvl w:val="0"/>
          <w:numId w:val="4"/>
        </w:numPr>
        <w:spacing w:after="60" w:before="20" w:line="276"/>
      </w:pPr>
      <w:r>
        <w:rPr>
          <w:rFonts w:ascii="Arial" w:cs="Arial" w:eastAsia="Arial" w:hAnsi="Arial"/>
          <w:color w:val="0E0E11"/>
          <w:sz w:val="22"/>
          <w:szCs w:val="22"/>
        </w:rPr>
        <w:t xml:space="preserve">Add resolution and cancellation events to the barrier lifecycle so that blocked duration is computable.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Why the digest change is first in the ordered backlog</w:t>
            </w:r>
          </w:p>
          <w:p>
            <w:pPr>
              <w:spacing w:after="60" w:line="264"/>
            </w:pPr>
            <w:r>
              <w:rPr>
                <w:rFonts w:ascii="Arial" w:cs="Arial" w:eastAsia="Arial" w:hAnsi="Arial"/>
                <w:color w:val="0E0E11"/>
                <w:sz w:val="20"/>
                <w:szCs w:val="20"/>
              </w:rPr>
              <w:t xml:space="preserve">A signature derived from row count and maximum event time cannot detect an in-place update to an already-projected row. Two materially different source states produce the same signature.</w:t>
            </w:r>
          </w:p>
          <w:p>
            <w:pPr>
              <w:spacing w:after="60" w:line="264"/>
            </w:pPr>
            <w:r>
              <w:rPr>
                <w:rFonts w:ascii="Arial" w:cs="Arial" w:eastAsia="Arial" w:hAnsi="Arial"/>
                <w:color w:val="0E0E11"/>
                <w:sz w:val="20"/>
                <w:szCs w:val="20"/>
              </w:rPr>
              <w:t xml:space="preserve">Every downstream guarantee — reproducible runs, correction replay, shadow-mode comparison, gold-set validation — depends on being able to prove that a given source window produced a given content state. That proof does not exist today.</w:t>
            </w:r>
          </w:p>
        </w:tc>
      </w:tr>
    </w:tbl>
    <w:p>
      <w:pPr>
        <w:pBdr>
          <w:bottom w:val="single" w:color="C9A227" w:sz="12" w:space="6"/>
        </w:pBdr>
        <w:spacing w:after="60" w:before="480"/>
      </w:pPr>
      <w:r>
        <w:rPr>
          <w:rFonts w:ascii="Arial" w:cs="Arial" w:eastAsia="Arial" w:hAnsi="Arial"/>
          <w:b/>
          <w:bCs/>
          <w:color w:val="C9A227"/>
          <w:spacing w:val="120"/>
          <w:sz w:val="19"/>
          <w:szCs w:val="19"/>
        </w:rPr>
        <w:t xml:space="preserve">PART III — PATIENT MEASUREMENT, LEDGER, AND ANALYSIS</w:t>
      </w:r>
    </w:p>
    <w:p>
      <w:pPr>
        <w:spacing w:after="120"/>
      </w:pPr>
    </w:p>
    <w:p>
      <w:pPr>
        <w:keepNext/>
        <w:spacing w:after="160" w:before="400"/>
      </w:pPr>
      <w:r>
        <w:rPr>
          <w:rFonts w:ascii="Arial" w:cs="Arial" w:eastAsia="Arial" w:hAnsi="Arial"/>
          <w:b/>
          <w:bCs/>
          <w:color w:val="9B1B30"/>
          <w:sz w:val="38"/>
          <w:szCs w:val="38"/>
        </w:rPr>
        <w:t xml:space="preserve">10. Patient–pathway measurement lifecycle</w:t>
      </w:r>
    </w:p>
    <w:p>
      <w:pPr>
        <w:keepNext/>
        <w:spacing w:after="120" w:before="320"/>
      </w:pPr>
      <w:r>
        <w:rPr>
          <w:rFonts w:ascii="Arial" w:cs="Arial" w:eastAsia="Arial" w:hAnsi="Arial"/>
          <w:b/>
          <w:bCs/>
          <w:color w:val="9B1B30"/>
          <w:sz w:val="32"/>
          <w:szCs w:val="32"/>
        </w:rPr>
        <w:t xml:space="preserve">10.1 Candidate detection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Candidate detection may use clinician selection; a suspected or confirmed Condition; a procedure order or schedule; a care plan; service line and encounter type; a validated phenotype; a structured trigger; DRG reconciliation after coding; or an approved combination.</w:t>
      </w:r>
    </w:p>
    <w:p>
      <w:pPr>
        <w:keepNext w:val="false"/>
        <w:spacing w:after="120" w:before="0" w:line="276"/>
        <w:jc w:val="left"/>
      </w:pPr>
      <w:r>
        <w:rPr>
          <w:rFonts w:ascii="Arial" w:cs="Arial" w:eastAsia="Arial" w:hAnsi="Arial"/>
          <w:b/>
          <w:bCs/>
          <w:i w:val="false"/>
          <w:iCs w:val="false"/>
          <w:color w:val="0E0E11"/>
          <w:sz w:val="22"/>
          <w:szCs w:val="22"/>
        </w:rPr>
        <w:t xml:space="preserve">Candidate detection is deliberately permissive.</w:t>
      </w:r>
      <w:r>
        <w:rPr>
          <w:rFonts w:ascii="Arial" w:cs="Arial" w:eastAsia="Arial" w:hAnsi="Arial"/>
          <w:color w:val="0E0E11"/>
          <w:sz w:val="22"/>
          <w:szCs w:val="22"/>
        </w:rPr>
        <w:t xml:space="preserve"> It identifies cases for confirmation; it does not establish the measurement denominator by itself. A detection rule tuned for sensitivity is correct; a detection rule silently used as a denominator is not.</w:t>
      </w:r>
    </w:p>
    <w:p>
      <w:pPr>
        <w:keepNext/>
        <w:spacing w:after="120" w:before="320"/>
      </w:pPr>
      <w:r>
        <w:rPr>
          <w:rFonts w:ascii="Arial" w:cs="Arial" w:eastAsia="Arial" w:hAnsi="Arial"/>
          <w:b/>
          <w:bCs/>
          <w:color w:val="9B1B30"/>
          <w:sz w:val="32"/>
          <w:szCs w:val="32"/>
        </w:rPr>
        <w:t xml:space="preserve">10.2 Confirmation and version pinning</w:t>
      </w:r>
    </w:p>
    <w:p>
      <w:pPr>
        <w:keepNext w:val="false"/>
        <w:spacing w:after="120" w:before="0" w:line="276"/>
        <w:jc w:val="left"/>
      </w:pPr>
      <w:r>
        <w:rPr>
          <w:rFonts w:ascii="Arial" w:cs="Arial" w:eastAsia="Arial" w:hAnsi="Arial"/>
          <w:b w:val="false"/>
          <w:bCs w:val="false"/>
          <w:i w:val="false"/>
          <w:iCs w:val="false"/>
          <w:color w:val="0E0E11"/>
          <w:sz w:val="22"/>
          <w:szCs w:val="22"/>
        </w:rPr>
        <w:t xml:space="preserve">At confirmation, nine things happen in order:</w:t>
      </w:r>
    </w:p>
    <w:p>
      <w:pPr>
        <w:pStyle w:val="ListParagraph"/>
        <w:numPr>
          <w:ilvl w:val="0"/>
          <w:numId w:val="5"/>
        </w:numPr>
        <w:spacing w:after="60" w:before="20" w:line="276"/>
      </w:pPr>
      <w:r>
        <w:rPr>
          <w:rFonts w:ascii="Arial" w:cs="Arial" w:eastAsia="Arial" w:hAnsi="Arial"/>
          <w:color w:val="0E0E11"/>
          <w:sz w:val="22"/>
          <w:szCs w:val="22"/>
        </w:rPr>
        <w:t xml:space="preserve">Select the institutional pathway.</w:t>
      </w:r>
    </w:p>
    <w:p>
      <w:pPr>
        <w:pStyle w:val="ListParagraph"/>
        <w:numPr>
          <w:ilvl w:val="0"/>
          <w:numId w:val="5"/>
        </w:numPr>
        <w:spacing w:after="60" w:before="20" w:line="276"/>
      </w:pPr>
      <w:r>
        <w:rPr>
          <w:rFonts w:ascii="Arial" w:cs="Arial" w:eastAsia="Arial" w:hAnsi="Arial"/>
          <w:color w:val="0E0E11"/>
          <w:sz w:val="22"/>
          <w:szCs w:val="22"/>
        </w:rPr>
        <w:t xml:space="preserve">Evaluate inclusion and exclusion evidence.</w:t>
      </w:r>
    </w:p>
    <w:p>
      <w:pPr>
        <w:pStyle w:val="ListParagraph"/>
        <w:numPr>
          <w:ilvl w:val="0"/>
          <w:numId w:val="5"/>
        </w:numPr>
        <w:spacing w:after="60" w:before="20" w:line="276"/>
      </w:pPr>
      <w:r>
        <w:rPr>
          <w:rFonts w:ascii="Arial" w:cs="Arial" w:eastAsia="Arial" w:hAnsi="Arial"/>
          <w:color w:val="0E0E11"/>
          <w:sz w:val="22"/>
          <w:szCs w:val="22"/>
        </w:rPr>
        <w:t xml:space="preserve">Record the confirmation actor, or the approved automated rule that stood in for one.</w:t>
      </w:r>
    </w:p>
    <w:p>
      <w:pPr>
        <w:pStyle w:val="ListParagraph"/>
        <w:numPr>
          <w:ilvl w:val="0"/>
          <w:numId w:val="5"/>
        </w:numPr>
        <w:spacing w:after="60" w:before="20" w:line="276"/>
      </w:pPr>
      <w:r>
        <w:rPr>
          <w:rFonts w:ascii="Arial" w:cs="Arial" w:eastAsia="Arial" w:hAnsi="Arial"/>
          <w:color w:val="0E0E11"/>
          <w:sz w:val="22"/>
          <w:szCs w:val="22"/>
        </w:rPr>
        <w:t xml:space="preserve">Choose episode and encounter boundaries.</w:t>
      </w:r>
    </w:p>
    <w:p>
      <w:pPr>
        <w:pStyle w:val="ListParagraph"/>
        <w:numPr>
          <w:ilvl w:val="0"/>
          <w:numId w:val="5"/>
        </w:numPr>
        <w:spacing w:after="60" w:before="20" w:line="276"/>
      </w:pPr>
      <w:r>
        <w:rPr>
          <w:rFonts w:ascii="Arial" w:cs="Arial" w:eastAsia="Arial" w:hAnsi="Arial"/>
          <w:color w:val="0E0E11"/>
          <w:sz w:val="22"/>
          <w:szCs w:val="22"/>
        </w:rPr>
        <w:t xml:space="preserve">Pin the exact pathway definition digest.</w:t>
      </w:r>
    </w:p>
    <w:p>
      <w:pPr>
        <w:pStyle w:val="ListParagraph"/>
        <w:numPr>
          <w:ilvl w:val="0"/>
          <w:numId w:val="5"/>
        </w:numPr>
        <w:spacing w:after="60" w:before="20" w:line="276"/>
      </w:pPr>
      <w:r>
        <w:rPr>
          <w:rFonts w:ascii="Arial" w:cs="Arial" w:eastAsia="Arial" w:hAnsi="Arial"/>
          <w:color w:val="0E0E11"/>
          <w:sz w:val="22"/>
          <w:szCs w:val="22"/>
        </w:rPr>
        <w:t xml:space="preserve">Store assignment evidence.</w:t>
      </w:r>
    </w:p>
    <w:p>
      <w:pPr>
        <w:pStyle w:val="ListParagraph"/>
        <w:numPr>
          <w:ilvl w:val="0"/>
          <w:numId w:val="5"/>
        </w:numPr>
        <w:spacing w:after="60" w:before="20" w:line="276"/>
      </w:pPr>
      <w:r>
        <w:rPr>
          <w:rFonts w:ascii="Arial" w:cs="Arial" w:eastAsia="Arial" w:hAnsi="Arial"/>
          <w:color w:val="0E0E11"/>
          <w:sz w:val="22"/>
          <w:szCs w:val="22"/>
        </w:rPr>
        <w:t xml:space="preserve">Create the PathwayInstance object in the OCEL.</w:t>
      </w:r>
    </w:p>
    <w:p>
      <w:pPr>
        <w:pStyle w:val="ListParagraph"/>
        <w:numPr>
          <w:ilvl w:val="0"/>
          <w:numId w:val="5"/>
        </w:numPr>
        <w:spacing w:after="60" w:before="20" w:line="276"/>
      </w:pPr>
      <w:r>
        <w:rPr>
          <w:rFonts w:ascii="Arial" w:cs="Arial" w:eastAsia="Arial" w:hAnsi="Arial"/>
          <w:color w:val="0E0E11"/>
          <w:sz w:val="22"/>
          <w:szCs w:val="22"/>
        </w:rPr>
        <w:t xml:space="preserve">Attach concurrent pathways and their precedence.</w:t>
      </w:r>
    </w:p>
    <w:p>
      <w:pPr>
        <w:pStyle w:val="ListParagraph"/>
        <w:numPr>
          <w:ilvl w:val="0"/>
          <w:numId w:val="5"/>
        </w:numPr>
        <w:spacing w:after="60" w:before="20" w:line="276"/>
      </w:pPr>
      <w:r>
        <w:rPr>
          <w:rFonts w:ascii="Arial" w:cs="Arial" w:eastAsia="Arial" w:hAnsi="Arial"/>
          <w:color w:val="0E0E11"/>
          <w:sz w:val="22"/>
          <w:szCs w:val="22"/>
        </w:rPr>
        <w:t xml:space="preserve">Start or schedule measurement.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Pinning is what makes history defensible</w:t>
            </w:r>
          </w:p>
          <w:p>
            <w:pPr>
              <w:spacing w:after="60" w:line="264"/>
            </w:pPr>
            <w:r>
              <w:rPr>
                <w:rFonts w:ascii="Arial" w:cs="Arial" w:eastAsia="Arial" w:hAnsi="Arial"/>
                <w:color w:val="0E0E11"/>
                <w:sz w:val="20"/>
                <w:szCs w:val="20"/>
              </w:rPr>
              <w:t xml:space="preserve">Changing the pathway definition later must not change the historical expectation for an already-pinned patient instance.</w:t>
            </w:r>
          </w:p>
          <w:p>
            <w:pPr>
              <w:spacing w:after="60" w:line="264"/>
            </w:pPr>
            <w:r>
              <w:rPr>
                <w:rFonts w:ascii="Arial" w:cs="Arial" w:eastAsia="Arial" w:hAnsi="Arial"/>
                <w:color w:val="0E0E11"/>
                <w:sz w:val="20"/>
                <w:szCs w:val="20"/>
              </w:rPr>
              <w:t xml:space="preserve">Without pinning, a definition revision retroactively rewrites every past result, and no reviewer can reconstruct what the system claimed at the time of care.</w:t>
            </w:r>
          </w:p>
        </w:tc>
      </w:tr>
    </w:tbl>
    <w:p>
      <w:pPr>
        <w:spacing w:after="160"/>
      </w:pPr>
    </w:p>
    <w:p>
      <w:pPr>
        <w:keepNext/>
        <w:spacing w:after="120" w:before="320"/>
      </w:pPr>
      <w:r>
        <w:rPr>
          <w:rFonts w:ascii="Arial" w:cs="Arial" w:eastAsia="Arial" w:hAnsi="Arial"/>
          <w:b/>
          <w:bCs/>
          <w:color w:val="9B1B30"/>
          <w:sz w:val="32"/>
          <w:szCs w:val="32"/>
        </w:rPr>
        <w:t xml:space="preserve">10.3 Measurement run identity</w:t>
      </w:r>
    </w:p>
    <w:p>
      <w:pPr>
        <w:keepNext w:val="false"/>
        <w:spacing w:after="120" w:before="0" w:line="276"/>
        <w:jc w:val="left"/>
      </w:pPr>
      <w:r>
        <w:rPr>
          <w:rFonts w:ascii="Arial" w:cs="Arial" w:eastAsia="Arial" w:hAnsi="Arial"/>
          <w:b w:val="false"/>
          <w:bCs w:val="false"/>
          <w:i w:val="false"/>
          <w:iCs w:val="false"/>
          <w:color w:val="0E0E11"/>
          <w:sz w:val="22"/>
          <w:szCs w:val="22"/>
        </w:rPr>
        <w:t xml:space="preserve">Each run needs an immutable reproducibility key. Two runs with identical keys must produce identical output; if they do not, the evaluator has an undeclared dependency and is unfit for clinical review.</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patient_pathway_instance_id</w:t>
            </w:r>
          </w:p>
          <w:p>
            <w:pPr>
              <w:spacing w:after="0" w:before="0" w:line="240"/>
            </w:pPr>
            <w:r>
              <w:rPr>
                <w:rFonts w:ascii="Courier New" w:cs="Courier New" w:eastAsia="Courier New" w:hAnsi="Courier New"/>
                <w:color w:val="FFFFFF"/>
                <w:sz w:val="16"/>
                <w:szCs w:val="16"/>
              </w:rPr>
              <w:t xml:space="preserve">definition_version_id</w:t>
            </w:r>
          </w:p>
          <w:p>
            <w:pPr>
              <w:spacing w:after="0" w:before="0" w:line="240"/>
            </w:pPr>
            <w:r>
              <w:rPr>
                <w:rFonts w:ascii="Courier New" w:cs="Courier New" w:eastAsia="Courier New" w:hAnsi="Courier New"/>
                <w:color w:val="FFFFFF"/>
                <w:sz w:val="16"/>
                <w:szCs w:val="16"/>
              </w:rPr>
              <w:t xml:space="preserve">definition_digest</w:t>
            </w:r>
          </w:p>
          <w:p>
            <w:pPr>
              <w:spacing w:after="0" w:before="0" w:line="240"/>
            </w:pPr>
            <w:r>
              <w:rPr>
                <w:rFonts w:ascii="Courier New" w:cs="Courier New" w:eastAsia="Courier New" w:hAnsi="Courier New"/>
                <w:color w:val="FFFFFF"/>
                <w:sz w:val="16"/>
                <w:szCs w:val="16"/>
              </w:rPr>
              <w:t xml:space="preserve">evaluator_version</w:t>
            </w:r>
          </w:p>
          <w:p>
            <w:pPr>
              <w:spacing w:after="0" w:before="0" w:line="240"/>
            </w:pPr>
            <w:r>
              <w:rPr>
                <w:rFonts w:ascii="Courier New" w:cs="Courier New" w:eastAsia="Courier New" w:hAnsi="Courier New"/>
                <w:color w:val="FFFFFF"/>
                <w:sz w:val="16"/>
                <w:szCs w:val="16"/>
              </w:rPr>
              <w:t xml:space="preserve">binding_set_version</w:t>
            </w:r>
          </w:p>
          <w:p>
            <w:pPr>
              <w:spacing w:after="0" w:before="0" w:line="240"/>
            </w:pPr>
            <w:r>
              <w:rPr>
                <w:rFonts w:ascii="Courier New" w:cs="Courier New" w:eastAsia="Courier New" w:hAnsi="Courier New"/>
                <w:color w:val="FFFFFF"/>
                <w:sz w:val="16"/>
                <w:szCs w:val="16"/>
              </w:rPr>
              <w:t xml:space="preserve">source_cutoff</w:t>
            </w:r>
          </w:p>
          <w:p>
            <w:pPr>
              <w:spacing w:after="0" w:before="0" w:line="240"/>
            </w:pPr>
            <w:r>
              <w:rPr>
                <w:rFonts w:ascii="Courier New" w:cs="Courier New" w:eastAsia="Courier New" w:hAnsi="Courier New"/>
                <w:color w:val="FFFFFF"/>
                <w:sz w:val="16"/>
                <w:szCs w:val="16"/>
              </w:rPr>
              <w:t xml:space="preserve">source_manifest_digest</w:t>
            </w:r>
          </w:p>
          <w:p>
            <w:pPr>
              <w:spacing w:after="0" w:before="0" w:line="240"/>
            </w:pPr>
            <w:r>
              <w:rPr>
                <w:rFonts w:ascii="Courier New" w:cs="Courier New" w:eastAsia="Courier New" w:hAnsi="Courier New"/>
                <w:color w:val="FFFFFF"/>
                <w:sz w:val="16"/>
                <w:szCs w:val="16"/>
              </w:rPr>
              <w:t xml:space="preserve">identity_rules_version</w:t>
            </w:r>
          </w:p>
          <w:p>
            <w:pPr>
              <w:spacing w:after="0" w:before="0" w:line="240"/>
            </w:pPr>
            <w:r>
              <w:rPr>
                <w:rFonts w:ascii="Courier New" w:cs="Courier New" w:eastAsia="Courier New" w:hAnsi="Courier New"/>
                <w:color w:val="FFFFFF"/>
                <w:sz w:val="16"/>
                <w:szCs w:val="16"/>
              </w:rPr>
              <w:t xml:space="preserve">run_purpose</w:t>
            </w:r>
          </w:p>
        </w:tc>
      </w:tr>
    </w:tbl>
    <w:p>
      <w:pPr>
        <w:spacing w:after="200" w:before="60"/>
      </w:pPr>
      <w:r>
        <w:rPr>
          <w:rFonts w:ascii="Arial" w:cs="Arial" w:eastAsia="Arial" w:hAnsi="Arial"/>
          <w:i/>
          <w:iCs/>
          <w:color w:val="666666"/>
          <w:sz w:val="15"/>
          <w:szCs w:val="15"/>
        </w:rPr>
        <w:t xml:space="preserve">Figure 10.1 — Minimum reproducibility key.</w:t>
      </w:r>
    </w:p>
    <w:p>
      <w:pPr>
        <w:keepNext w:val="false"/>
        <w:spacing w:after="120" w:before="0" w:line="276"/>
        <w:jc w:val="left"/>
      </w:pPr>
      <w:r>
        <w:rPr>
          <w:rFonts w:ascii="Arial" w:cs="Arial" w:eastAsia="Arial" w:hAnsi="Arial"/>
          <w:b w:val="false"/>
          <w:bCs w:val="false"/>
          <w:i w:val="false"/>
          <w:iCs w:val="false"/>
          <w:color w:val="0E0E11"/>
          <w:sz w:val="22"/>
          <w:szCs w:val="22"/>
        </w:rPr>
        <w:t xml:space="preserve">Run purposes may include prospective monitoring; retrospective final; correction replay; model validation; shadow-mode comparison; chart-review gold-set comparison; and cohort aggregation. Purpose is part of the key because the same instance legitimately produces different results under different cutoffs and intentions.</w:t>
      </w:r>
    </w:p>
    <w:p>
      <w:pPr>
        <w:keepNext/>
        <w:spacing w:after="120" w:before="320"/>
      </w:pPr>
      <w:r>
        <w:rPr>
          <w:rFonts w:ascii="Arial" w:cs="Arial" w:eastAsia="Arial" w:hAnsi="Arial"/>
          <w:b/>
          <w:bCs/>
          <w:color w:val="9B1B30"/>
          <w:sz w:val="32"/>
          <w:szCs w:val="32"/>
        </w:rPr>
        <w:t xml:space="preserve">10.4 Applicability resolution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For each step the evaluator must:</w:t>
      </w:r>
    </w:p>
    <w:p>
      <w:pPr>
        <w:pStyle w:val="ListParagraph"/>
        <w:numPr>
          <w:ilvl w:val="0"/>
          <w:numId w:val="6"/>
        </w:numPr>
        <w:spacing w:after="60" w:before="20" w:line="276"/>
      </w:pPr>
      <w:r>
        <w:rPr>
          <w:rFonts w:ascii="Arial" w:cs="Arial" w:eastAsia="Arial" w:hAnsi="Arial"/>
          <w:color w:val="0E0E11"/>
          <w:sz w:val="22"/>
          <w:szCs w:val="22"/>
        </w:rPr>
        <w:t xml:space="preserve">Evaluate branch predicates using data available at the appropriate time.</w:t>
      </w:r>
    </w:p>
    <w:p>
      <w:pPr>
        <w:pStyle w:val="ListParagraph"/>
        <w:numPr>
          <w:ilvl w:val="0"/>
          <w:numId w:val="6"/>
        </w:numPr>
        <w:spacing w:after="60" w:before="20" w:line="276"/>
      </w:pPr>
      <w:r>
        <w:rPr>
          <w:rFonts w:ascii="Arial" w:cs="Arial" w:eastAsia="Arial" w:hAnsi="Arial"/>
          <w:color w:val="0E0E11"/>
          <w:sz w:val="22"/>
          <w:szCs w:val="22"/>
        </w:rPr>
        <w:t xml:space="preserve">Determine required, optional, not_applicable, or unknown.</w:t>
      </w:r>
    </w:p>
    <w:p>
      <w:pPr>
        <w:pStyle w:val="ListParagraph"/>
        <w:numPr>
          <w:ilvl w:val="0"/>
          <w:numId w:val="6"/>
        </w:numPr>
        <w:spacing w:after="60" w:before="20" w:line="276"/>
      </w:pPr>
      <w:r>
        <w:rPr>
          <w:rFonts w:ascii="Arial" w:cs="Arial" w:eastAsia="Arial" w:hAnsi="Arial"/>
          <w:color w:val="0E0E11"/>
          <w:sz w:val="22"/>
          <w:szCs w:val="22"/>
        </w:rPr>
        <w:t xml:space="preserve">Record every predicate result and its supporting event or object.</w:t>
      </w:r>
    </w:p>
    <w:p>
      <w:pPr>
        <w:pStyle w:val="ListParagraph"/>
        <w:numPr>
          <w:ilvl w:val="0"/>
          <w:numId w:val="6"/>
        </w:numPr>
        <w:spacing w:after="60" w:before="20" w:line="276"/>
      </w:pPr>
      <w:r>
        <w:rPr>
          <w:rFonts w:ascii="Arial" w:cs="Arial" w:eastAsia="Arial" w:hAnsi="Arial"/>
          <w:color w:val="0E0E11"/>
          <w:sz w:val="22"/>
          <w:szCs w:val="22"/>
        </w:rPr>
        <w:t xml:space="preserve">Evaluate approved exception evidence.</w:t>
      </w:r>
    </w:p>
    <w:p>
      <w:pPr>
        <w:pStyle w:val="ListParagraph"/>
        <w:numPr>
          <w:ilvl w:val="0"/>
          <w:numId w:val="6"/>
        </w:numPr>
        <w:spacing w:after="60" w:before="20" w:line="276"/>
      </w:pPr>
      <w:r>
        <w:rPr>
          <w:rFonts w:ascii="Arial" w:cs="Arial" w:eastAsia="Arial" w:hAnsi="Arial"/>
          <w:color w:val="0E0E11"/>
          <w:sz w:val="22"/>
          <w:szCs w:val="22"/>
        </w:rPr>
        <w:t xml:space="preserve">Identify the named anchor and window.</w:t>
      </w:r>
    </w:p>
    <w:p>
      <w:pPr>
        <w:pStyle w:val="ListParagraph"/>
        <w:numPr>
          <w:ilvl w:val="0"/>
          <w:numId w:val="6"/>
        </w:numPr>
        <w:spacing w:after="60" w:before="20" w:line="276"/>
      </w:pPr>
      <w:r>
        <w:rPr>
          <w:rFonts w:ascii="Arial" w:cs="Arial" w:eastAsia="Arial" w:hAnsi="Arial"/>
          <w:color w:val="0E0E11"/>
          <w:sz w:val="22"/>
          <w:szCs w:val="22"/>
        </w:rPr>
        <w:t xml:space="preserve">Record source coverage for each required evidence type.</w:t>
      </w:r>
    </w:p>
    <w:p>
      <w:pPr>
        <w:pStyle w:val="ListParagraph"/>
        <w:numPr>
          <w:ilvl w:val="0"/>
          <w:numId w:val="6"/>
        </w:numPr>
        <w:spacing w:after="60" w:before="20" w:line="276"/>
      </w:pPr>
      <w:r>
        <w:rPr>
          <w:rFonts w:ascii="Arial" w:cs="Arial" w:eastAsia="Arial" w:hAnsi="Arial"/>
          <w:color w:val="0E0E11"/>
          <w:sz w:val="22"/>
          <w:szCs w:val="22"/>
        </w:rPr>
        <w:t xml:space="preserve">Preserve uncertainty instead of converting it to failure.</w:t>
      </w:r>
    </w:p>
    <w:p>
      <w:pPr>
        <w:keepNext w:val="false"/>
        <w:spacing w:after="120" w:before="0" w:line="276"/>
        <w:jc w:val="left"/>
      </w:pPr>
      <w:r>
        <w:rPr>
          <w:rFonts w:ascii="Arial" w:cs="Arial" w:eastAsia="Arial" w:hAnsi="Arial"/>
          <w:b/>
          <w:bCs/>
          <w:i w:val="false"/>
          <w:iCs w:val="false"/>
          <w:color w:val="0E0E11"/>
          <w:sz w:val="22"/>
          <w:szCs w:val="22"/>
        </w:rPr>
        <w:t xml:space="preserve">Step 7 is the one that is most often skipped and most consequential. </w:t>
      </w:r>
      <w:r>
        <w:rPr>
          <w:rFonts w:ascii="Arial" w:cs="Arial" w:eastAsia="Arial" w:hAnsi="Arial"/>
          <w:color w:val="0E0E11"/>
          <w:sz w:val="22"/>
          <w:szCs w:val="22"/>
        </w:rPr>
        <w:t xml:space="preserve">An evaluator that collapses "unknown" into "not done" will systematically penalise the units with the weakest data feeds and reward the units with the best documentation — the exact inverse of the intended signal.</w:t>
      </w:r>
    </w:p>
    <w:p>
      <w:pPr>
        <w:keepNext/>
        <w:spacing w:after="120" w:before="320"/>
      </w:pPr>
      <w:r>
        <w:rPr>
          <w:rFonts w:ascii="Arial" w:cs="Arial" w:eastAsia="Arial" w:hAnsi="Arial"/>
          <w:b/>
          <w:bCs/>
          <w:color w:val="9B1B30"/>
          <w:sz w:val="32"/>
          <w:szCs w:val="32"/>
        </w:rPr>
        <w:t xml:space="preserve">10.5 Event matching</w:t>
      </w:r>
    </w:p>
    <w:p>
      <w:pPr>
        <w:keepNext w:val="false"/>
        <w:spacing w:after="120" w:before="0" w:line="276"/>
        <w:jc w:val="left"/>
      </w:pPr>
      <w:r>
        <w:rPr>
          <w:rFonts w:ascii="Arial" w:cs="Arial" w:eastAsia="Arial" w:hAnsi="Arial"/>
          <w:b w:val="false"/>
          <w:bCs w:val="false"/>
          <w:i w:val="false"/>
          <w:iCs w:val="false"/>
          <w:color w:val="0E0E11"/>
          <w:sz w:val="22"/>
          <w:szCs w:val="22"/>
        </w:rPr>
        <w:t xml:space="preserve">Candidate event matches are found using the approved source binding; object identity; event state; terminology or value set; pathway branch; temporal eligibility; encounter or episode boundary; status and correction state; allowed substitution; and provenance and freshness.</w:t>
      </w:r>
    </w:p>
    <w:p>
      <w:pPr>
        <w:keepNext w:val="false"/>
        <w:spacing w:after="120" w:before="0" w:line="276"/>
        <w:jc w:val="left"/>
      </w:pPr>
      <w:r>
        <w:rPr>
          <w:rFonts w:ascii="Arial" w:cs="Arial" w:eastAsia="Arial" w:hAnsi="Arial"/>
          <w:b w:val="false"/>
          <w:bCs w:val="false"/>
          <w:i w:val="false"/>
          <w:iCs w:val="false"/>
          <w:color w:val="0E0E11"/>
          <w:sz w:val="22"/>
          <w:szCs w:val="22"/>
        </w:rPr>
        <w:t xml:space="preserve">When several events can satisfy a step, the definition must declare the selection rule explicitly: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200"/>
        <w:gridCol w:w="6160"/>
      </w:tblGrid>
      <w:tr>
        <w:trPr>
          <w:tblHeader/>
        </w:trPr>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Selection rule</w:t>
            </w:r>
          </w:p>
        </w:tc>
        <w:tc>
          <w:tcPr>
            <w:tcW w:type="dxa" w:w="61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Typical use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first valid</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Time-to-first-action constraints (first antibiotic dose)</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last valid</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Readiness or discharge-criteria evidence</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closest to anchor</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Peri-procedural observations</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all</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Monitoring cadence and repeat-until rules</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minimum / maximum result</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Worst-value physiologic criteria</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final / corrected result</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Any rule where a preliminary value must not be scored</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specific specimen</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Site- or method-dependent results (arterial vs venous lactate)</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reviewer selected</w:t>
            </w:r>
          </w:p>
        </w:tc>
        <w:tc>
          <w:tcPr>
            <w:tcW w:type="dxa" w:w="6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Adjudicated or disputed cases</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other approved deterministic policy</w:t>
            </w:r>
          </w:p>
        </w:tc>
        <w:tc>
          <w:tcPr>
            <w:tcW w:type="dxa" w:w="6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Documented per pathway, never implicit</w:t>
            </w:r>
          </w:p>
        </w:tc>
      </w:tr>
    </w:tbl>
    <w:p>
      <w:pPr>
        <w:spacing w:after="200" w:before="60"/>
      </w:pPr>
      <w:r>
        <w:rPr>
          <w:rFonts w:ascii="Arial" w:cs="Arial" w:eastAsia="Arial" w:hAnsi="Arial"/>
          <w:i/>
          <w:iCs/>
          <w:color w:val="666666"/>
          <w:sz w:val="15"/>
          <w:szCs w:val="15"/>
        </w:rPr>
        <w:t xml:space="preserve">Table 10.1 — Event-selection rules. Every candidate considered and the one selected must remain auditable; a result that cannot show its rejected candidates cannot be defended in review.</w:t>
      </w:r>
    </w:p>
    <w:p>
      <w:pPr>
        <w:keepNext/>
        <w:spacing w:after="120" w:before="320"/>
      </w:pPr>
      <w:r>
        <w:rPr>
          <w:rFonts w:ascii="Arial" w:cs="Arial" w:eastAsia="Arial" w:hAnsi="Arial"/>
          <w:b/>
          <w:bCs/>
          <w:color w:val="9B1B30"/>
          <w:sz w:val="32"/>
          <w:szCs w:val="32"/>
        </w:rPr>
        <w:t xml:space="preserve">10.6 Required step states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Do not use pass/fail. Seventeen states are required to distinguish care quality from data quality.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800"/>
        <w:gridCol w:w="6560"/>
      </w:tblGrid>
      <w:tr>
        <w:trPr>
          <w:tblHeader/>
        </w:trPr>
        <w:tc>
          <w:tcPr>
            <w:tcW w:type="dxa" w:w="28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State</w:t>
            </w:r>
          </w:p>
        </w:tc>
        <w:tc>
          <w:tcPr>
            <w:tcW w:type="dxa" w:w="65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Meaning</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met_on_time</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Valid evidence within the approved window</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met_early</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Valid evidence before the lower bound</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met_late</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Valid evidence after the upper bound</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missing</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and not observed, with sufficient source coverage to say so</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extra</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Observed but not expected in the active branch</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out_of_sequence</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Evidence occurred in a disallowed order</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repeated_or_rework</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Activity repeated beyond the approved pattern</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exception_approved</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obligation was validly excepted</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contraindicated</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Evidence supports an approved contraindication</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not_applicable</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Branch or step did not apply</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optional_observed</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Optional action occurred</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optional_not_observed</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Optional action did not occur</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data_unavailable</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source or field was not observable</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source_late</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Evidence arrived after the original cutoff</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source_corrected</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later source version changed the interpretation</w:t>
            </w:r>
          </w:p>
        </w:tc>
      </w:tr>
      <w:tr>
        <w:tc>
          <w:tcPr>
            <w:tcW w:type="dxa" w:w="2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canceled_or_entered_in_error</w:t>
            </w:r>
          </w:p>
        </w:tc>
        <w:tc>
          <w:tcPr>
            <w:tcW w:type="dxa" w:w="6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 explicitly invalidated the event</w:t>
            </w:r>
          </w:p>
        </w:tc>
      </w:tr>
      <w:tr>
        <w:tc>
          <w:tcPr>
            <w:tcW w:type="dxa" w:w="2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ambiguous</w:t>
            </w:r>
          </w:p>
        </w:tc>
        <w:tc>
          <w:tcPr>
            <w:tcW w:type="dxa" w:w="6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Several interpretations remain unresolved</w:t>
            </w:r>
          </w:p>
        </w:tc>
      </w:tr>
    </w:tbl>
    <w:p>
      <w:pPr>
        <w:spacing w:after="200" w:before="60"/>
      </w:pPr>
      <w:r>
        <w:rPr>
          <w:rFonts w:ascii="Arial" w:cs="Arial" w:eastAsia="Arial" w:hAnsi="Arial"/>
          <w:i/>
          <w:iCs/>
          <w:color w:val="666666"/>
          <w:sz w:val="15"/>
          <w:szCs w:val="15"/>
        </w:rPr>
        <w:t xml:space="preserve">Table 10.2 — Step measurement states. The distinction between "missing" and "data_unavailable" is the difference between a care finding and an integration finding.</w:t>
      </w:r>
    </w:p>
    <w:p>
      <w:pPr>
        <w:keepNext/>
        <w:spacing w:after="120" w:before="320"/>
      </w:pPr>
      <w:r>
        <w:rPr>
          <w:rFonts w:ascii="Arial" w:cs="Arial" w:eastAsia="Arial" w:hAnsi="Arial"/>
          <w:b/>
          <w:bCs/>
          <w:color w:val="9B1B30"/>
          <w:sz w:val="32"/>
          <w:szCs w:val="32"/>
        </w:rPr>
        <w:t xml:space="preserve">10.7 Timing calculation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For a target event t, anchor a, lower bound L, and upper bound U:</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elapsed = clock(t, a)</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signed_variance =</w:t>
            </w:r>
          </w:p>
          <w:p>
            <w:pPr>
              <w:spacing w:after="0" w:before="0" w:line="240"/>
            </w:pPr>
            <w:r>
              <w:rPr>
                <w:rFonts w:ascii="Courier New" w:cs="Courier New" w:eastAsia="Courier New" w:hAnsi="Courier New"/>
                <w:color w:val="FFFFFF"/>
                <w:sz w:val="16"/>
                <w:szCs w:val="16"/>
              </w:rPr>
              <w:t xml:space="preserve">    elapsed - U     when elapsed &gt; U</w:t>
            </w:r>
          </w:p>
          <w:p>
            <w:pPr>
              <w:spacing w:after="0" w:before="0" w:line="240"/>
            </w:pPr>
            <w:r>
              <w:rPr>
                <w:rFonts w:ascii="Courier New" w:cs="Courier New" w:eastAsia="Courier New" w:hAnsi="Courier New"/>
                <w:color w:val="FFFFFF"/>
                <w:sz w:val="16"/>
                <w:szCs w:val="16"/>
              </w:rPr>
              <w:t xml:space="preserve">    elapsed - L     when elapsed &lt; L</w:t>
            </w:r>
          </w:p>
          <w:p>
            <w:pPr>
              <w:spacing w:after="0" w:before="0" w:line="240"/>
            </w:pPr>
            <w:r>
              <w:rPr>
                <w:rFonts w:ascii="Courier New" w:cs="Courier New" w:eastAsia="Courier New" w:hAnsi="Courier New"/>
                <w:color w:val="FFFFFF"/>
                <w:sz w:val="16"/>
                <w:szCs w:val="16"/>
              </w:rPr>
              <w:t xml:space="preserve">    0               otherwise</w:t>
            </w:r>
          </w:p>
        </w:tc>
      </w:tr>
    </w:tbl>
    <w:p>
      <w:pPr>
        <w:keepNext w:val="false"/>
        <w:spacing w:after="120" w:before="0" w:line="276"/>
        <w:jc w:val="left"/>
      </w:pPr>
      <w:r>
        <w:rPr>
          <w:rFonts w:ascii="Arial" w:cs="Arial" w:eastAsia="Arial" w:hAnsi="Arial"/>
          <w:b w:val="false"/>
          <w:bCs w:val="false"/>
          <w:i w:val="false"/>
          <w:iCs w:val="false"/>
          <w:color w:val="0E0E11"/>
          <w:sz w:val="22"/>
          <w:szCs w:val="22"/>
        </w:rPr>
        <w:t xml:space="preserve">Persist all of: anchor event and timestamp; target event and timestamp; clock implementation; lower and upper bounds; signed variance; state; source cutoff; event-match confidence; data coverage; and exception evidence.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Why the whole tuple must be persisted</w:t>
            </w:r>
          </w:p>
          <w:p>
            <w:pPr>
              <w:spacing w:after="60" w:line="264"/>
            </w:pPr>
            <w:r>
              <w:rPr>
                <w:rFonts w:ascii="Arial" w:cs="Arial" w:eastAsia="Arial" w:hAnsi="Arial"/>
                <w:color w:val="0E0E11"/>
                <w:sz w:val="20"/>
                <w:szCs w:val="20"/>
              </w:rPr>
              <w:t xml:space="preserve">The number "18 minutes late" is meaningless without the approved anchor, the clock, the source state, and the definition version.</w:t>
            </w:r>
          </w:p>
          <w:p>
            <w:pPr>
              <w:spacing w:after="60" w:line="264"/>
            </w:pPr>
            <w:r>
              <w:rPr>
                <w:rFonts w:ascii="Arial" w:cs="Arial" w:eastAsia="Arial" w:hAnsi="Arial"/>
                <w:color w:val="0E0E11"/>
                <w:sz w:val="20"/>
                <w:szCs w:val="20"/>
              </w:rPr>
              <w:t xml:space="preserve">Two units reporting different lateness for identical care is the normal outcome of anchoring to different timestamps. The ledger must make that visible rather than averaging it away.</w:t>
            </w:r>
          </w:p>
        </w:tc>
      </w:tr>
    </w:tbl>
    <w:p>
      <w:pPr>
        <w:spacing w:after="160"/>
      </w:pPr>
    </w:p>
    <w:p>
      <w:pPr>
        <w:keepNext/>
        <w:spacing w:after="120" w:before="320"/>
      </w:pPr>
      <w:r>
        <w:rPr>
          <w:rFonts w:ascii="Arial" w:cs="Arial" w:eastAsia="Arial" w:hAnsi="Arial"/>
          <w:b/>
          <w:bCs/>
          <w:color w:val="9B1B30"/>
          <w:sz w:val="32"/>
          <w:szCs w:val="32"/>
        </w:rPr>
        <w:t xml:space="preserve">10.8 Prospective versus retrospective evaluation</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100"/>
        <w:gridCol w:w="3400"/>
        <w:gridCol w:w="3860"/>
      </w:tblGrid>
      <w:tr>
        <w:trPr>
          <w:tblHeader/>
        </w:trPr>
        <w:tc>
          <w:tcPr>
            <w:tcW w:type="dxa" w:w="21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
            </w:r>
          </w:p>
        </w:tc>
        <w:tc>
          <w:tcPr>
            <w:tcW w:type="dxa" w:w="3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Retrospective measurement</w:t>
            </w:r>
          </w:p>
        </w:tc>
        <w:tc>
          <w:tcPr>
            <w:tcW w:type="dxa" w:w="38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Prospective alerting</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Tolerates late data</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Yes — supersession is normal</w:t>
            </w:r>
          </w:p>
        </w:tc>
        <w:tc>
          <w:tcPr>
            <w:tcW w:type="dxa" w:w="3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 a late anchor produces a false alert</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source freshness</w:t>
            </w:r>
          </w:p>
        </w:tc>
        <w:tc>
          <w:tcPr>
            <w:tcW w:type="dxa" w:w="3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Bounded by cutoff</w:t>
            </w:r>
          </w:p>
        </w:tc>
        <w:tc>
          <w:tcPr>
            <w:tcW w:type="dxa" w:w="3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Continuously proven</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Identity requirement</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Stable at run time</w:t>
            </w:r>
          </w:p>
        </w:tc>
        <w:tc>
          <w:tcPr>
            <w:tcW w:type="dxa" w:w="3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Stable in real time</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Anchor requirement</w:t>
            </w:r>
          </w:p>
        </w:tc>
        <w:tc>
          <w:tcPr>
            <w:tcW w:type="dxa" w:w="3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Resolvable after the fact</w:t>
            </w:r>
          </w:p>
        </w:tc>
        <w:tc>
          <w:tcPr>
            <w:tcW w:type="dxa" w:w="3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Unambiguous at alert time</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Additional controls</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Cohort suppression</w:t>
            </w:r>
          </w:p>
        </w:tc>
        <w:tc>
          <w:tcPr>
            <w:tcW w:type="dxa" w:w="3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Suppression, acknowledgment, alert-latency safety proof, human-factors review</w:t>
            </w:r>
          </w:p>
        </w:tc>
      </w:tr>
      <w:tr>
        <w:tc>
          <w:tcPr>
            <w:tcW w:type="dxa" w:w="2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Governance gate</w:t>
            </w:r>
          </w:p>
        </w:tc>
        <w:tc>
          <w:tcPr>
            <w:tcW w:type="dxa" w:w="3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Gate 8–9</w:t>
            </w:r>
          </w:p>
        </w:tc>
        <w:tc>
          <w:tcPr>
            <w:tcW w:type="dxa" w:w="3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Gate 10, separately authorised</w:t>
            </w:r>
          </w:p>
        </w:tc>
      </w:tr>
      <w:tr>
        <w:tc>
          <w:tcPr>
            <w:tcW w:type="dxa" w:w="2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Production order</w:t>
            </w:r>
          </w:p>
        </w:tc>
        <w:tc>
          <w:tcPr>
            <w:tcW w:type="dxa" w:w="3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First — required</w:t>
            </w:r>
          </w:p>
        </w:tc>
        <w:tc>
          <w:tcPr>
            <w:tcW w:type="dxa" w:w="3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Later — separately governed capability</w:t>
            </w:r>
          </w:p>
        </w:tc>
      </w:tr>
    </w:tbl>
    <w:p>
      <w:pPr>
        <w:spacing w:after="200" w:before="60"/>
      </w:pPr>
      <w:r>
        <w:rPr>
          <w:rFonts w:ascii="Arial" w:cs="Arial" w:eastAsia="Arial" w:hAnsi="Arial"/>
          <w:i/>
          <w:iCs/>
          <w:color w:val="666666"/>
          <w:sz w:val="15"/>
          <w:szCs w:val="15"/>
        </w:rPr>
        <w:t xml:space="preserve">Table 10.3 — Retrospective measurement is the required first production mode.</w:t>
      </w:r>
    </w:p>
    <w:p>
      <w:pPr>
        <w:keepNext/>
        <w:spacing w:after="160" w:before="400"/>
      </w:pPr>
      <w:r>
        <w:rPr>
          <w:rFonts w:ascii="Arial" w:cs="Arial" w:eastAsia="Arial" w:hAnsi="Arial"/>
          <w:b/>
          <w:bCs/>
          <w:color w:val="9B1B30"/>
          <w:sz w:val="38"/>
          <w:szCs w:val="38"/>
        </w:rPr>
        <w:t xml:space="preserve">11. Durable measurement ledger</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following is an illustrative relational design; exact naming should follow repository conventions. The structural commitments — separation of definition side from measurement side, append-only correction, and run-scoped evidence — are not optional.</w:t>
      </w:r>
    </w:p>
    <w:p>
      <w:pPr>
        <w:keepNext/>
        <w:spacing w:after="120" w:before="320"/>
      </w:pPr>
      <w:r>
        <w:rPr>
          <w:rFonts w:ascii="Arial" w:cs="Arial" w:eastAsia="Arial" w:hAnsi="Arial"/>
          <w:b/>
          <w:bCs/>
          <w:color w:val="9B1B30"/>
          <w:sz w:val="32"/>
          <w:szCs w:val="32"/>
        </w:rPr>
        <w:t xml:space="preserve">11.1 Definition-side additions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care_pathways.definition_builds</w:t>
            </w:r>
          </w:p>
          <w:p>
            <w:pPr>
              <w:spacing w:after="0" w:before="0" w:line="240"/>
            </w:pPr>
            <w:r>
              <w:rPr>
                <w:rFonts w:ascii="Courier New" w:cs="Courier New" w:eastAsia="Courier New" w:hAnsi="Courier New"/>
                <w:color w:val="FFFFFF"/>
                <w:sz w:val="16"/>
                <w:szCs w:val="16"/>
              </w:rPr>
              <w:t xml:space="preserve">care_pathways.applicability_rules</w:t>
            </w:r>
          </w:p>
          <w:p>
            <w:pPr>
              <w:spacing w:after="0" w:before="0" w:line="240"/>
            </w:pPr>
            <w:r>
              <w:rPr>
                <w:rFonts w:ascii="Courier New" w:cs="Courier New" w:eastAsia="Courier New" w:hAnsi="Courier New"/>
                <w:color w:val="FFFFFF"/>
                <w:sz w:val="16"/>
                <w:szCs w:val="16"/>
              </w:rPr>
              <w:t xml:space="preserve">care_pathways.stage_definitions            (exists, unpopulated)</w:t>
            </w:r>
          </w:p>
          <w:p>
            <w:pPr>
              <w:spacing w:after="0" w:before="0" w:line="240"/>
            </w:pPr>
            <w:r>
              <w:rPr>
                <w:rFonts w:ascii="Courier New" w:cs="Courier New" w:eastAsia="Courier New" w:hAnsi="Courier New"/>
                <w:color w:val="FFFFFF"/>
                <w:sz w:val="16"/>
                <w:szCs w:val="16"/>
              </w:rPr>
              <w:t xml:space="preserve">care_pathways.activity_definitions         (exists, unpopulated)</w:t>
            </w:r>
          </w:p>
          <w:p>
            <w:pPr>
              <w:spacing w:after="0" w:before="0" w:line="240"/>
            </w:pPr>
            <w:r>
              <w:rPr>
                <w:rFonts w:ascii="Courier New" w:cs="Courier New" w:eastAsia="Courier New" w:hAnsi="Courier New"/>
                <w:color w:val="FFFFFF"/>
                <w:sz w:val="16"/>
                <w:szCs w:val="16"/>
              </w:rPr>
              <w:t xml:space="preserve">care_pathways.milestone_definitions        (exists, unpopulated)</w:t>
            </w:r>
          </w:p>
          <w:p>
            <w:pPr>
              <w:spacing w:after="0" w:before="0" w:line="240"/>
            </w:pPr>
            <w:r>
              <w:rPr>
                <w:rFonts w:ascii="Courier New" w:cs="Courier New" w:eastAsia="Courier New" w:hAnsi="Courier New"/>
                <w:color w:val="FFFFFF"/>
                <w:sz w:val="16"/>
                <w:szCs w:val="16"/>
              </w:rPr>
              <w:t xml:space="preserve">care_pathways.goal_definitions             (exists, unpopulated)</w:t>
            </w:r>
          </w:p>
          <w:p>
            <w:pPr>
              <w:spacing w:after="0" w:before="0" w:line="240"/>
            </w:pPr>
            <w:r>
              <w:rPr>
                <w:rFonts w:ascii="Courier New" w:cs="Courier New" w:eastAsia="Courier New" w:hAnsi="Courier New"/>
                <w:color w:val="FFFFFF"/>
                <w:sz w:val="16"/>
                <w:szCs w:val="16"/>
              </w:rPr>
              <w:t xml:space="preserve">care_pathways.definition_edges</w:t>
            </w:r>
          </w:p>
          <w:p>
            <w:pPr>
              <w:spacing w:after="0" w:before="0" w:line="240"/>
            </w:pPr>
            <w:r>
              <w:rPr>
                <w:rFonts w:ascii="Courier New" w:cs="Courier New" w:eastAsia="Courier New" w:hAnsi="Courier New"/>
                <w:color w:val="FFFFFF"/>
                <w:sz w:val="16"/>
                <w:szCs w:val="16"/>
              </w:rPr>
              <w:t xml:space="preserve">care_pathways.branch_groups</w:t>
            </w:r>
          </w:p>
          <w:p>
            <w:pPr>
              <w:spacing w:after="0" w:before="0" w:line="240"/>
            </w:pPr>
            <w:r>
              <w:rPr>
                <w:rFonts w:ascii="Courier New" w:cs="Courier New" w:eastAsia="Courier New" w:hAnsi="Courier New"/>
                <w:color w:val="FFFFFF"/>
                <w:sz w:val="16"/>
                <w:szCs w:val="16"/>
              </w:rPr>
              <w:t xml:space="preserve">care_pathways.temporal_constraints</w:t>
            </w:r>
          </w:p>
          <w:p>
            <w:pPr>
              <w:spacing w:after="0" w:before="0" w:line="240"/>
            </w:pPr>
            <w:r>
              <w:rPr>
                <w:rFonts w:ascii="Courier New" w:cs="Courier New" w:eastAsia="Courier New" w:hAnsi="Courier New"/>
                <w:color w:val="FFFFFF"/>
                <w:sz w:val="16"/>
                <w:szCs w:val="16"/>
              </w:rPr>
              <w:t xml:space="preserve">care_pathways.exception_policies</w:t>
            </w:r>
          </w:p>
          <w:p>
            <w:pPr>
              <w:spacing w:after="0" w:before="0" w:line="240"/>
            </w:pPr>
            <w:r>
              <w:rPr>
                <w:rFonts w:ascii="Courier New" w:cs="Courier New" w:eastAsia="Courier New" w:hAnsi="Courier New"/>
                <w:color w:val="FFFFFF"/>
                <w:sz w:val="16"/>
                <w:szCs w:val="16"/>
              </w:rPr>
              <w:t xml:space="preserve">care_pathways.resource_requirements</w:t>
            </w:r>
          </w:p>
          <w:p>
            <w:pPr>
              <w:spacing w:after="0" w:before="0" w:line="240"/>
            </w:pPr>
            <w:r>
              <w:rPr>
                <w:rFonts w:ascii="Courier New" w:cs="Courier New" w:eastAsia="Courier New" w:hAnsi="Courier New"/>
                <w:color w:val="FFFFFF"/>
                <w:sz w:val="16"/>
                <w:szCs w:val="16"/>
              </w:rPr>
              <w:t xml:space="preserve">care_pathways.terminology_binding_sets</w:t>
            </w:r>
          </w:p>
          <w:p>
            <w:pPr>
              <w:spacing w:after="0" w:before="0" w:line="240"/>
            </w:pPr>
            <w:r>
              <w:rPr>
                <w:rFonts w:ascii="Courier New" w:cs="Courier New" w:eastAsia="Courier New" w:hAnsi="Courier New"/>
                <w:color w:val="FFFFFF"/>
                <w:sz w:val="16"/>
                <w:szCs w:val="16"/>
              </w:rPr>
              <w:t xml:space="preserve">care_pathways.terminology_binding_members</w:t>
            </w:r>
          </w:p>
          <w:p>
            <w:pPr>
              <w:spacing w:after="0" w:before="0" w:line="240"/>
            </w:pPr>
            <w:r>
              <w:rPr>
                <w:rFonts w:ascii="Courier New" w:cs="Courier New" w:eastAsia="Courier New" w:hAnsi="Courier New"/>
                <w:color w:val="FFFFFF"/>
                <w:sz w:val="16"/>
                <w:szCs w:val="16"/>
              </w:rPr>
              <w:t xml:space="preserve">care_pathways.observation_bindings</w:t>
            </w:r>
          </w:p>
          <w:p>
            <w:pPr>
              <w:spacing w:after="0" w:before="0" w:line="240"/>
            </w:pPr>
            <w:r>
              <w:rPr>
                <w:rFonts w:ascii="Courier New" w:cs="Courier New" w:eastAsia="Courier New" w:hAnsi="Courier New"/>
                <w:color w:val="FFFFFF"/>
                <w:sz w:val="16"/>
                <w:szCs w:val="16"/>
              </w:rPr>
              <w:t xml:space="preserve">care_pathways.measure_definitions</w:t>
            </w:r>
          </w:p>
          <w:p>
            <w:pPr>
              <w:spacing w:after="0" w:before="0" w:line="240"/>
            </w:pPr>
            <w:r>
              <w:rPr>
                <w:rFonts w:ascii="Courier New" w:cs="Courier New" w:eastAsia="Courier New" w:hAnsi="Courier New"/>
                <w:color w:val="FFFFFF"/>
                <w:sz w:val="16"/>
                <w:szCs w:val="16"/>
              </w:rPr>
              <w:t xml:space="preserve">care_pathways.definition_test_cases</w:t>
            </w:r>
          </w:p>
          <w:p>
            <w:pPr>
              <w:spacing w:after="0" w:before="0" w:line="240"/>
            </w:pPr>
            <w:r>
              <w:rPr>
                <w:rFonts w:ascii="Courier New" w:cs="Courier New" w:eastAsia="Courier New" w:hAnsi="Courier New"/>
                <w:color w:val="FFFFFF"/>
                <w:sz w:val="16"/>
                <w:szCs w:val="16"/>
              </w:rPr>
              <w:t xml:space="preserve">care_pathways.definition_validation_results</w:t>
            </w:r>
          </w:p>
        </w:tc>
      </w:tr>
    </w:tbl>
    <w:p>
      <w:pPr>
        <w:spacing w:after="200" w:before="60"/>
      </w:pPr>
      <w:r>
        <w:rPr>
          <w:rFonts w:ascii="Arial" w:cs="Arial" w:eastAsia="Arial" w:hAnsi="Arial"/>
          <w:i/>
          <w:iCs/>
          <w:color w:val="666666"/>
          <w:sz w:val="15"/>
          <w:szCs w:val="15"/>
        </w:rPr>
        <w:t xml:space="preserve">Figure 11.1 — Definition-side schema. Four tables already exist structurally; thirteen are new.</w:t>
      </w:r>
    </w:p>
    <w:p>
      <w:pPr>
        <w:keepNext/>
        <w:spacing w:after="120" w:before="320"/>
      </w:pPr>
      <w:r>
        <w:rPr>
          <w:rFonts w:ascii="Arial" w:cs="Arial" w:eastAsia="Arial" w:hAnsi="Arial"/>
          <w:b/>
          <w:bCs/>
          <w:color w:val="9B1B30"/>
          <w:sz w:val="32"/>
          <w:szCs w:val="32"/>
        </w:rPr>
        <w:t xml:space="preserve">11.2 Measurement-side additions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pathway_measurement.instances</w:t>
            </w:r>
          </w:p>
          <w:p>
            <w:pPr>
              <w:spacing w:after="0" w:before="0" w:line="240"/>
            </w:pPr>
            <w:r>
              <w:rPr>
                <w:rFonts w:ascii="Courier New" w:cs="Courier New" w:eastAsia="Courier New" w:hAnsi="Courier New"/>
                <w:color w:val="FFFFFF"/>
                <w:sz w:val="16"/>
                <w:szCs w:val="16"/>
              </w:rPr>
              <w:t xml:space="preserve">pathway_measurement.instance_assignments</w:t>
            </w:r>
          </w:p>
          <w:p>
            <w:pPr>
              <w:spacing w:after="0" w:before="0" w:line="240"/>
            </w:pPr>
            <w:r>
              <w:rPr>
                <w:rFonts w:ascii="Courier New" w:cs="Courier New" w:eastAsia="Courier New" w:hAnsi="Courier New"/>
                <w:color w:val="FFFFFF"/>
                <w:sz w:val="16"/>
                <w:szCs w:val="16"/>
              </w:rPr>
              <w:t xml:space="preserve">pathway_measurement.runs</w:t>
            </w:r>
          </w:p>
          <w:p>
            <w:pPr>
              <w:spacing w:after="0" w:before="0" w:line="240"/>
            </w:pPr>
            <w:r>
              <w:rPr>
                <w:rFonts w:ascii="Courier New" w:cs="Courier New" w:eastAsia="Courier New" w:hAnsi="Courier New"/>
                <w:color w:val="FFFFFF"/>
                <w:sz w:val="16"/>
                <w:szCs w:val="16"/>
              </w:rPr>
              <w:t xml:space="preserve">pathway_measurement.step_measurements</w:t>
            </w:r>
          </w:p>
          <w:p>
            <w:pPr>
              <w:spacing w:after="0" w:before="0" w:line="240"/>
            </w:pPr>
            <w:r>
              <w:rPr>
                <w:rFonts w:ascii="Courier New" w:cs="Courier New" w:eastAsia="Courier New" w:hAnsi="Courier New"/>
                <w:color w:val="FFFFFF"/>
                <w:sz w:val="16"/>
                <w:szCs w:val="16"/>
              </w:rPr>
              <w:t xml:space="preserve">pathway_measurement.constraint_measurements</w:t>
            </w:r>
          </w:p>
          <w:p>
            <w:pPr>
              <w:spacing w:after="0" w:before="0" w:line="240"/>
            </w:pPr>
            <w:r>
              <w:rPr>
                <w:rFonts w:ascii="Courier New" w:cs="Courier New" w:eastAsia="Courier New" w:hAnsi="Courier New"/>
                <w:color w:val="FFFFFF"/>
                <w:sz w:val="16"/>
                <w:szCs w:val="16"/>
              </w:rPr>
              <w:t xml:space="preserve">pathway_measurement.event_match_candidates</w:t>
            </w:r>
          </w:p>
          <w:p>
            <w:pPr>
              <w:spacing w:after="0" w:before="0" w:line="240"/>
            </w:pPr>
            <w:r>
              <w:rPr>
                <w:rFonts w:ascii="Courier New" w:cs="Courier New" w:eastAsia="Courier New" w:hAnsi="Courier New"/>
                <w:color w:val="FFFFFF"/>
                <w:sz w:val="16"/>
                <w:szCs w:val="16"/>
              </w:rPr>
              <w:t xml:space="preserve">pathway_measurement.selected_event_matches</w:t>
            </w:r>
          </w:p>
          <w:p>
            <w:pPr>
              <w:spacing w:after="0" w:before="0" w:line="240"/>
            </w:pPr>
            <w:r>
              <w:rPr>
                <w:rFonts w:ascii="Courier New" w:cs="Courier New" w:eastAsia="Courier New" w:hAnsi="Courier New"/>
                <w:color w:val="FFFFFF"/>
                <w:sz w:val="16"/>
                <w:szCs w:val="16"/>
              </w:rPr>
              <w:t xml:space="preserve">pathway_measurement.coverage_results</w:t>
            </w:r>
          </w:p>
          <w:p>
            <w:pPr>
              <w:spacing w:after="0" w:before="0" w:line="240"/>
            </w:pPr>
            <w:r>
              <w:rPr>
                <w:rFonts w:ascii="Courier New" w:cs="Courier New" w:eastAsia="Courier New" w:hAnsi="Courier New"/>
                <w:color w:val="FFFFFF"/>
                <w:sz w:val="16"/>
                <w:szCs w:val="16"/>
              </w:rPr>
              <w:t xml:space="preserve">pathway_measurement.deviations</w:t>
            </w:r>
          </w:p>
          <w:p>
            <w:pPr>
              <w:spacing w:after="0" w:before="0" w:line="240"/>
            </w:pPr>
            <w:r>
              <w:rPr>
                <w:rFonts w:ascii="Courier New" w:cs="Courier New" w:eastAsia="Courier New" w:hAnsi="Courier New"/>
                <w:color w:val="FFFFFF"/>
                <w:sz w:val="16"/>
                <w:szCs w:val="16"/>
              </w:rPr>
              <w:t xml:space="preserve">pathway_measurement.wait_segments</w:t>
            </w:r>
          </w:p>
          <w:p>
            <w:pPr>
              <w:spacing w:after="0" w:before="0" w:line="240"/>
            </w:pPr>
            <w:r>
              <w:rPr>
                <w:rFonts w:ascii="Courier New" w:cs="Courier New" w:eastAsia="Courier New" w:hAnsi="Courier New"/>
                <w:color w:val="FFFFFF"/>
                <w:sz w:val="16"/>
                <w:szCs w:val="16"/>
              </w:rPr>
              <w:t xml:space="preserve">pathway_measurement.resource_evidence</w:t>
            </w:r>
          </w:p>
          <w:p>
            <w:pPr>
              <w:spacing w:after="0" w:before="0" w:line="240"/>
            </w:pPr>
            <w:r>
              <w:rPr>
                <w:rFonts w:ascii="Courier New" w:cs="Courier New" w:eastAsia="Courier New" w:hAnsi="Courier New"/>
                <w:color w:val="FFFFFF"/>
                <w:sz w:val="16"/>
                <w:szCs w:val="16"/>
              </w:rPr>
              <w:t xml:space="preserve">pathway_measurement.outcome_measurements</w:t>
            </w:r>
          </w:p>
          <w:p>
            <w:pPr>
              <w:spacing w:after="0" w:before="0" w:line="240"/>
            </w:pPr>
            <w:r>
              <w:rPr>
                <w:rFonts w:ascii="Courier New" w:cs="Courier New" w:eastAsia="Courier New" w:hAnsi="Courier New"/>
                <w:color w:val="FFFFFF"/>
                <w:sz w:val="16"/>
                <w:szCs w:val="16"/>
              </w:rPr>
              <w:t xml:space="preserve">pathway_measurement.safety_screens</w:t>
            </w:r>
          </w:p>
          <w:p>
            <w:pPr>
              <w:spacing w:after="0" w:before="0" w:line="240"/>
            </w:pPr>
            <w:r>
              <w:rPr>
                <w:rFonts w:ascii="Courier New" w:cs="Courier New" w:eastAsia="Courier New" w:hAnsi="Courier New"/>
                <w:color w:val="FFFFFF"/>
                <w:sz w:val="16"/>
                <w:szCs w:val="16"/>
              </w:rPr>
              <w:t xml:space="preserve">pathway_measurement.review_cases</w:t>
            </w:r>
          </w:p>
          <w:p>
            <w:pPr>
              <w:spacing w:after="0" w:before="0" w:line="240"/>
            </w:pPr>
            <w:r>
              <w:rPr>
                <w:rFonts w:ascii="Courier New" w:cs="Courier New" w:eastAsia="Courier New" w:hAnsi="Courier New"/>
                <w:color w:val="FFFFFF"/>
                <w:sz w:val="16"/>
                <w:szCs w:val="16"/>
              </w:rPr>
              <w:t xml:space="preserve">pathway_measurement.review_decisions</w:t>
            </w:r>
          </w:p>
          <w:p>
            <w:pPr>
              <w:spacing w:after="0" w:before="0" w:line="240"/>
            </w:pPr>
            <w:r>
              <w:rPr>
                <w:rFonts w:ascii="Courier New" w:cs="Courier New" w:eastAsia="Courier New" w:hAnsi="Courier New"/>
                <w:color w:val="FFFFFF"/>
                <w:sz w:val="16"/>
                <w:szCs w:val="16"/>
              </w:rPr>
              <w:t xml:space="preserve">pathway_measurement.factor_evidence</w:t>
            </w:r>
          </w:p>
          <w:p>
            <w:pPr>
              <w:spacing w:after="0" w:before="0" w:line="240"/>
            </w:pPr>
            <w:r>
              <w:rPr>
                <w:rFonts w:ascii="Courier New" w:cs="Courier New" w:eastAsia="Courier New" w:hAnsi="Courier New"/>
                <w:color w:val="FFFFFF"/>
                <w:sz w:val="16"/>
                <w:szCs w:val="16"/>
              </w:rPr>
              <w:t xml:space="preserve">pathway_measurement.corrective_actions</w:t>
            </w:r>
          </w:p>
        </w:tc>
      </w:tr>
    </w:tbl>
    <w:p>
      <w:pPr>
        <w:spacing w:after="200" w:before="60"/>
      </w:pPr>
      <w:r>
        <w:rPr>
          <w:rFonts w:ascii="Arial" w:cs="Arial" w:eastAsia="Arial" w:hAnsi="Arial"/>
          <w:i/>
          <w:iCs/>
          <w:color w:val="666666"/>
          <w:sz w:val="15"/>
          <w:szCs w:val="15"/>
        </w:rPr>
        <w:t xml:space="preserve">Figure 11.2 — Measurement-side schema. None of these exist today.</w:t>
      </w:r>
    </w:p>
    <w:p>
      <w:pPr>
        <w:keepNext/>
        <w:spacing w:after="120" w:before="320"/>
      </w:pPr>
      <w:r>
        <w:rPr>
          <w:rFonts w:ascii="Arial" w:cs="Arial" w:eastAsia="Arial" w:hAnsi="Arial"/>
          <w:b/>
          <w:bCs/>
          <w:color w:val="9B1B30"/>
          <w:sz w:val="32"/>
          <w:szCs w:val="32"/>
        </w:rPr>
        <w:t xml:space="preserve">11.3 Essential run fields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runs table should contain: run ID; pathway instance; definition version and digest; evaluator version and digest; binding-set version and digest; source cutoff; source manifest; status; purpose; started and completed time; supersedes and superseded-by; warnings; coverage summary; and failure and retry evidence.</w:t>
      </w:r>
    </w:p>
    <w:p>
      <w:pPr>
        <w:keepNext/>
        <w:spacing w:after="120" w:before="320"/>
      </w:pPr>
      <w:r>
        <w:rPr>
          <w:rFonts w:ascii="Arial" w:cs="Arial" w:eastAsia="Arial" w:hAnsi="Arial"/>
          <w:b/>
          <w:bCs/>
          <w:color w:val="9B1B30"/>
          <w:sz w:val="32"/>
          <w:szCs w:val="32"/>
        </w:rPr>
        <w:t xml:space="preserve">11.4 Essential step-measurement fields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step_measurements table should contain: run ID; activity definition ID; applicability state; requirement state; expected anchor; expected window; selected event; selected timestamp role; actual time; signed variance; measurement state; exception; data coverage; match confidence; terminology binding used; source lineage; explanation code; and human override, if any.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2DD4BF" w:sz="24"/>
              <w:bottom w:val="none" w:color="FFFFFF" w:sz="0"/>
              <w:right w:val="none" w:color="FFFFFF" w:sz="0"/>
            </w:tcBorders>
            <w:shd w:fill="F0FBF9"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The explanation code</w:t>
            </w:r>
          </w:p>
          <w:p>
            <w:pPr>
              <w:spacing w:after="60" w:line="264"/>
            </w:pPr>
            <w:r>
              <w:rPr>
                <w:rFonts w:ascii="Arial" w:cs="Arial" w:eastAsia="Arial" w:hAnsi="Arial"/>
                <w:color w:val="0E0E11"/>
                <w:sz w:val="20"/>
                <w:szCs w:val="20"/>
              </w:rPr>
              <w:t xml:space="preserve">Every step measurement must carry a stable, enumerated explanation code — not free text. It is what allows a reviewer interface to group thousands of results by reason, and what allows shadow-mode analysis to distinguish "the binding is wrong" from "the care was late".</w:t>
            </w:r>
          </w:p>
        </w:tc>
      </w:tr>
    </w:tbl>
    <w:p>
      <w:pPr>
        <w:spacing w:after="160"/>
      </w:pPr>
    </w:p>
    <w:p>
      <w:pPr>
        <w:keepNext/>
        <w:spacing w:after="120" w:before="320"/>
      </w:pPr>
      <w:r>
        <w:rPr>
          <w:rFonts w:ascii="Arial" w:cs="Arial" w:eastAsia="Arial" w:hAnsi="Arial"/>
          <w:b/>
          <w:bCs/>
          <w:color w:val="9B1B30"/>
          <w:sz w:val="32"/>
          <w:szCs w:val="32"/>
        </w:rPr>
        <w:t xml:space="preserve">11.5 Append-only correction policy</w:t>
      </w:r>
    </w:p>
    <w:p>
      <w:pPr>
        <w:keepNext w:val="false"/>
        <w:spacing w:after="120" w:before="0" w:line="276"/>
        <w:jc w:val="left"/>
      </w:pPr>
      <w:r>
        <w:rPr>
          <w:rFonts w:ascii="Arial" w:cs="Arial" w:eastAsia="Arial" w:hAnsi="Arial"/>
          <w:b/>
          <w:bCs/>
          <w:i w:val="false"/>
          <w:iCs w:val="false"/>
          <w:color w:val="0E0E11"/>
          <w:sz w:val="22"/>
          <w:szCs w:val="22"/>
        </w:rPr>
        <w:t xml:space="preserve">Measurement records are evidence.</w:t>
      </w:r>
      <w:r>
        <w:rPr>
          <w:rFonts w:ascii="Arial" w:cs="Arial" w:eastAsia="Arial" w:hAnsi="Arial"/>
          <w:color w:val="0E0E11"/>
          <w:sz w:val="22"/>
          <w:szCs w:val="22"/>
        </w:rPr>
        <w:t xml:space="preserve"> A later source correction, binding change, or definition change creates a new run linked by supersedes. It does not mutate the old conclusion out of existence.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run_1  cutoff=2026-07-20T06:00Z  binding_set=v3  -&gt; step X = met_late (+18m)</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   |  lab system transmits a corrected collection time</w:t>
            </w:r>
          </w:p>
          <w:p>
            <w:pPr>
              <w:spacing w:after="0" w:before="0" w:line="240"/>
            </w:pPr>
            <w:r>
              <w:rPr>
                <w:rFonts w:ascii="Courier New" w:cs="Courier New" w:eastAsia="Courier New" w:hAnsi="Courier New"/>
                <w:color w:val="FFFFFF"/>
                <w:sz w:val="16"/>
                <w:szCs w:val="16"/>
              </w:rPr>
              <w:t xml:space="preserve">   v</w:t>
            </w:r>
          </w:p>
          <w:p>
            <w:pPr>
              <w:spacing w:after="0" w:before="0" w:line="240"/>
            </w:pPr>
            <w:r>
              <w:rPr>
                <w:rFonts w:ascii="Courier New" w:cs="Courier New" w:eastAsia="Courier New" w:hAnsi="Courier New"/>
                <w:color w:val="FFFFFF"/>
                <w:sz w:val="16"/>
                <w:szCs w:val="16"/>
              </w:rPr>
              <w:t xml:space="preserve">run_2  cutoff=2026-07-21T06:00Z  binding_set=v3  -&gt; step X = met_on_time</w:t>
            </w:r>
          </w:p>
          <w:p>
            <w:pPr>
              <w:spacing w:after="0" w:before="0" w:line="240"/>
            </w:pPr>
            <w:r>
              <w:rPr>
                <w:rFonts w:ascii="Courier New" w:cs="Courier New" w:eastAsia="Courier New" w:hAnsi="Courier New"/>
                <w:color w:val="FFFFFF"/>
                <w:sz w:val="16"/>
                <w:szCs w:val="16"/>
              </w:rPr>
              <w:t xml:space="preserve">       supersedes = run_1</w:t>
            </w:r>
          </w:p>
          <w:p>
            <w:pPr>
              <w:spacing w:after="0" w:before="0" w:line="240"/>
            </w:pPr>
            <w:r>
              <w:rPr>
                <w:rFonts w:ascii="Courier New" w:cs="Courier New" w:eastAsia="Courier New" w:hAnsi="Courier New"/>
                <w:color w:val="FFFFFF"/>
                <w:sz w:val="16"/>
                <w:szCs w:val="16"/>
              </w:rPr>
              <w:t xml:space="preserve">       explanation_code = SOURCE_CORRECTED_ANCHOR</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Both runs remain queryable. Reports state which run they used.</w:t>
            </w:r>
          </w:p>
        </w:tc>
      </w:tr>
    </w:tbl>
    <w:p>
      <w:pPr>
        <w:spacing w:after="200" w:before="60"/>
      </w:pPr>
      <w:r>
        <w:rPr>
          <w:rFonts w:ascii="Arial" w:cs="Arial" w:eastAsia="Arial" w:hAnsi="Arial"/>
          <w:i/>
          <w:iCs/>
          <w:color w:val="666666"/>
          <w:sz w:val="15"/>
          <w:szCs w:val="15"/>
        </w:rPr>
        <w:t xml:space="preserve">Figure 11.3 — Supersession, not mutation.</w:t>
      </w:r>
    </w:p>
    <w:p>
      <w:pPr>
        <w:keepNext/>
        <w:spacing w:after="160" w:before="400"/>
      </w:pPr>
      <w:r>
        <w:rPr>
          <w:rFonts w:ascii="Arial" w:cs="Arial" w:eastAsia="Arial" w:hAnsi="Arial"/>
          <w:b/>
          <w:bCs/>
          <w:color w:val="9B1B30"/>
          <w:sz w:val="38"/>
          <w:szCs w:val="38"/>
        </w:rPr>
        <w:t xml:space="preserve">12. Measurement framework by problem type</w:t>
      </w:r>
    </w:p>
    <w:p>
      <w:pPr>
        <w:keepNext/>
        <w:spacing w:after="120" w:before="320"/>
      </w:pPr>
      <w:r>
        <w:rPr>
          <w:rFonts w:ascii="Arial" w:cs="Arial" w:eastAsia="Arial" w:hAnsi="Arial"/>
          <w:b/>
          <w:bCs/>
          <w:color w:val="9B1B30"/>
          <w:sz w:val="32"/>
          <w:szCs w:val="32"/>
        </w:rPr>
        <w:t xml:space="preserve">12.1 Deficiencies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deficiency is a defined, applicable expectation that was missing; late; too early where early action is unsafe; out of order; incomplete; performed with an unapproved substitution; repeated or reworked beyond the expected pattern; or unresolved at the end of the observation period.</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completion_rate =</w:t>
            </w:r>
          </w:p>
          <w:p>
            <w:pPr>
              <w:spacing w:after="0" w:before="0" w:line="240"/>
            </w:pPr>
            <w:r>
              <w:rPr>
                <w:rFonts w:ascii="Courier New" w:cs="Courier New" w:eastAsia="Courier New" w:hAnsi="Courier New"/>
                <w:color w:val="FFFFFF"/>
                <w:sz w:val="16"/>
                <w:szCs w:val="16"/>
              </w:rPr>
              <w:t xml:space="preserve">    required_applicable_steps_met</w:t>
            </w:r>
          </w:p>
          <w:p>
            <w:pPr>
              <w:spacing w:after="0" w:before="0" w:line="240"/>
            </w:pPr>
            <w:r>
              <w:rPr>
                <w:rFonts w:ascii="Courier New" w:cs="Courier New" w:eastAsia="Courier New" w:hAnsi="Courier New"/>
                <w:color w:val="FFFFFF"/>
                <w:sz w:val="16"/>
                <w:szCs w:val="16"/>
              </w:rPr>
              <w:t xml:space="preserve">  / required_applicable_steps_with_sufficient_coverage</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on_time_rate =</w:t>
            </w:r>
          </w:p>
          <w:p>
            <w:pPr>
              <w:spacing w:after="0" w:before="0" w:line="240"/>
            </w:pPr>
            <w:r>
              <w:rPr>
                <w:rFonts w:ascii="Courier New" w:cs="Courier New" w:eastAsia="Courier New" w:hAnsi="Courier New"/>
                <w:color w:val="FFFFFF"/>
                <w:sz w:val="16"/>
                <w:szCs w:val="16"/>
              </w:rPr>
              <w:t xml:space="preserve">    required_timed_steps_met_on_time</w:t>
            </w:r>
          </w:p>
          <w:p>
            <w:pPr>
              <w:spacing w:after="0" w:before="0" w:line="240"/>
            </w:pPr>
            <w:r>
              <w:rPr>
                <w:rFonts w:ascii="Courier New" w:cs="Courier New" w:eastAsia="Courier New" w:hAnsi="Courier New"/>
                <w:color w:val="FFFFFF"/>
                <w:sz w:val="16"/>
                <w:szCs w:val="16"/>
              </w:rPr>
              <w:t xml:space="preserve">  / required_timed_steps_with_known_anchor_and_sufficient_coverage</w:t>
            </w:r>
          </w:p>
        </w:tc>
      </w:tr>
    </w:tbl>
    <w:p>
      <w:pPr>
        <w:keepNext w:val="false"/>
        <w:spacing w:after="120" w:before="0" w:line="276"/>
        <w:jc w:val="left"/>
      </w:pPr>
      <w:r>
        <w:rPr>
          <w:rFonts w:ascii="Arial" w:cs="Arial" w:eastAsia="Arial" w:hAnsi="Arial"/>
          <w:b w:val="false"/>
          <w:bCs w:val="false"/>
          <w:i w:val="false"/>
          <w:iCs w:val="false"/>
          <w:color w:val="0E0E11"/>
          <w:sz w:val="22"/>
          <w:szCs w:val="22"/>
        </w:rPr>
        <w:t xml:space="preserve">The denominator excludes not_applicable and handles approved exceptions according to the measure definition. Results must display coverage rather than treat missing data as missed care.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Prohibited: the single pathway compliance percentage</w:t>
            </w:r>
          </w:p>
          <w:p>
            <w:pPr>
              <w:spacing w:after="60" w:line="264"/>
            </w:pPr>
            <w:r>
              <w:rPr>
                <w:rFonts w:ascii="Arial" w:cs="Arial" w:eastAsia="Arial" w:hAnsi="Arial"/>
                <w:color w:val="0E0E11"/>
                <w:sz w:val="20"/>
                <w:szCs w:val="20"/>
              </w:rPr>
              <w:t xml:space="preserve">Do not create one unqualified pathway compliance percentage. At minimum, report assignment certainty; definition version; step completion; timing; branch and sequence; exceptions; outcome; data coverage; data freshness; and unresolved ambiguity.</w:t>
            </w:r>
          </w:p>
          <w:p>
            <w:pPr>
              <w:spacing w:after="60" w:line="264"/>
            </w:pPr>
            <w:r>
              <w:rPr>
                <w:rFonts w:ascii="Arial" w:cs="Arial" w:eastAsia="Arial" w:hAnsi="Arial"/>
                <w:color w:val="0E0E11"/>
                <w:sz w:val="20"/>
                <w:szCs w:val="20"/>
              </w:rPr>
              <w:t xml:space="preserve">A single number invites exactly the misuse this architecture is designed to prevent: unit-to-unit comparison across materially different source coverage.</w:t>
            </w:r>
          </w:p>
        </w:tc>
      </w:tr>
    </w:tbl>
    <w:p>
      <w:pPr>
        <w:spacing w:after="160"/>
      </w:pPr>
    </w:p>
    <w:p>
      <w:pPr>
        <w:keepNext/>
        <w:spacing w:after="120" w:before="320"/>
      </w:pPr>
      <w:r>
        <w:rPr>
          <w:rFonts w:ascii="Arial" w:cs="Arial" w:eastAsia="Arial" w:hAnsi="Arial"/>
          <w:b/>
          <w:bCs/>
          <w:color w:val="9B1B30"/>
          <w:sz w:val="32"/>
          <w:szCs w:val="32"/>
        </w:rPr>
        <w:t xml:space="preserve">12.2 Bottlenecks</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bottleneck is a persistent constraint in a flow, not simply one long interval.</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queue_wait       = service_start    - queue_entry</w:t>
            </w:r>
          </w:p>
          <w:p>
            <w:pPr>
              <w:spacing w:after="0" w:before="0" w:line="240"/>
            </w:pPr>
            <w:r>
              <w:rPr>
                <w:rFonts w:ascii="Courier New" w:cs="Courier New" w:eastAsia="Courier New" w:hAnsi="Courier New"/>
                <w:color w:val="FFFFFF"/>
                <w:sz w:val="16"/>
                <w:szCs w:val="16"/>
              </w:rPr>
              <w:t xml:space="preserve">processing_time  = service_complete - service_start - paused_time</w:t>
            </w:r>
          </w:p>
          <w:p>
            <w:pPr>
              <w:spacing w:after="0" w:before="0" w:line="240"/>
            </w:pPr>
            <w:r>
              <w:rPr>
                <w:rFonts w:ascii="Courier New" w:cs="Courier New" w:eastAsia="Courier New" w:hAnsi="Courier New"/>
                <w:color w:val="FFFFFF"/>
                <w:sz w:val="16"/>
                <w:szCs w:val="16"/>
              </w:rPr>
              <w:t xml:space="preserve">total_flow_time  = service_complete - request_time</w:t>
            </w:r>
          </w:p>
        </w:tc>
      </w:tr>
    </w:tbl>
    <w:p>
      <w:pPr>
        <w:keepNext w:val="false"/>
        <w:spacing w:after="120" w:before="0" w:line="276"/>
        <w:jc w:val="left"/>
      </w:pPr>
      <w:r>
        <w:rPr>
          <w:rFonts w:ascii="Arial" w:cs="Arial" w:eastAsia="Arial" w:hAnsi="Arial"/>
          <w:b w:val="false"/>
          <w:bCs w:val="false"/>
          <w:i w:val="false"/>
          <w:iCs w:val="false"/>
          <w:color w:val="0E0E11"/>
          <w:sz w:val="22"/>
          <w:szCs w:val="22"/>
        </w:rPr>
        <w:t xml:space="preserve">Measure by pathway, step, location, shift, weekday, acuity, and relevant case mix: median, p75, p90, p95, and p99 wait; queue length over time; work in process; arrival rate; service start and completion rate; abandonment and cancellation; blocked duration; rework; utilisation; changeover; downstream starvation; and upstream blocking.</w:t>
      </w:r>
    </w:p>
    <w:p>
      <w:pPr>
        <w:keepNext/>
        <w:spacing w:after="100" w:before="240"/>
      </w:pPr>
      <w:r>
        <w:rPr>
          <w:rFonts w:ascii="Arial" w:cs="Arial" w:eastAsia="Arial" w:hAnsi="Arial"/>
          <w:b/>
          <w:bCs/>
          <w:color w:val="0E0E11"/>
          <w:sz w:val="26"/>
          <w:szCs w:val="26"/>
        </w:rPr>
        <w:t xml:space="preserve">Bottleneck signal preconditions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 stable queue boundary.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Reliable entry, start, and complete timestamps.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Sufficient volume.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Repeated high waits or queue growth — not a single excursion.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Comparison with a relevant baseline.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Sensitivity analysis against source missingness.</w:t>
      </w:r>
    </w:p>
    <w:p>
      <w:pPr>
        <w:keepNext w:val="false"/>
        <w:spacing w:after="120" w:before="0" w:line="276"/>
        <w:jc w:val="left"/>
      </w:pPr>
      <w:r>
        <w:rPr>
          <w:rFonts w:ascii="Arial" w:cs="Arial" w:eastAsia="Arial" w:hAnsi="Arial"/>
          <w:b w:val="false"/>
          <w:bCs w:val="false"/>
          <w:i w:val="false"/>
          <w:iCs w:val="false"/>
          <w:color w:val="0E0E11"/>
          <w:sz w:val="22"/>
          <w:szCs w:val="22"/>
        </w:rPr>
        <w:t xml:space="preserve">Object-centric relationships matter here because the patient, the task, the room, the device, and the team may each have different clocks and different constraints. Flattening to a single case ID destroys precisely the information needed to locate the constraint.</w:t>
      </w:r>
    </w:p>
    <w:p>
      <w:pPr>
        <w:keepNext/>
        <w:spacing w:after="120" w:before="320"/>
      </w:pPr>
      <w:r>
        <w:rPr>
          <w:rFonts w:ascii="Arial" w:cs="Arial" w:eastAsia="Arial" w:hAnsi="Arial"/>
          <w:b/>
          <w:bCs/>
          <w:color w:val="9B1B30"/>
          <w:sz w:val="32"/>
          <w:szCs w:val="32"/>
        </w:rPr>
        <w:t xml:space="preserve">12.3 Insufficient resources</w:t>
      </w:r>
    </w:p>
    <w:p>
      <w:pPr>
        <w:keepNext w:val="false"/>
        <w:spacing w:after="120" w:before="0" w:line="276"/>
        <w:jc w:val="left"/>
      </w:pPr>
      <w:r>
        <w:rPr>
          <w:rFonts w:ascii="Arial" w:cs="Arial" w:eastAsia="Arial" w:hAnsi="Arial"/>
          <w:b/>
          <w:bCs/>
          <w:i w:val="false"/>
          <w:iCs w:val="false"/>
          <w:color w:val="0E0E11"/>
          <w:sz w:val="22"/>
          <w:szCs w:val="22"/>
        </w:rPr>
        <w:t xml:space="preserve">Wait time alone does not prove insufficient resources.</w:t>
      </w:r>
      <w:r>
        <w:rPr>
          <w:rFonts w:ascii="Arial" w:cs="Arial" w:eastAsia="Arial" w:hAnsi="Arial"/>
          <w:color w:val="0E0E11"/>
          <w:sz w:val="22"/>
          <w:szCs w:val="22"/>
        </w:rPr>
        <w:t xml:space="preserve"> The system may observe delay without observing staffing, capacity, downtime, scheduling, demand mix, or clinical priority.</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resource-insufficiency candidate requires co-occurring evidence: demand or arrivals exceed effective service capacity; queue length grows across a sustained interval; a required role, location, device, or supply is unavailable; staffed capacity is below the approved need; utilisation is persistently high with poor recovery; work is blocked specifically on resource assignment; delay improves when capacity becomes available; and the pattern remains after reasonable case-mix and priority stratification.</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effective_capacity =</w:t>
            </w:r>
          </w:p>
          <w:p>
            <w:pPr>
              <w:spacing w:after="0" w:before="0" w:line="240"/>
            </w:pPr>
            <w:r>
              <w:rPr>
                <w:rFonts w:ascii="Courier New" w:cs="Courier New" w:eastAsia="Courier New" w:hAnsi="Courier New"/>
                <w:color w:val="FFFFFF"/>
                <w:sz w:val="16"/>
                <w:szCs w:val="16"/>
              </w:rPr>
              <w:t xml:space="preserve">      staffed_and_available_units</w:t>
            </w:r>
          </w:p>
          <w:p>
            <w:pPr>
              <w:spacing w:after="0" w:before="0" w:line="240"/>
            </w:pPr>
            <w:r>
              <w:rPr>
                <w:rFonts w:ascii="Courier New" w:cs="Courier New" w:eastAsia="Courier New" w:hAnsi="Courier New"/>
                <w:color w:val="FFFFFF"/>
                <w:sz w:val="16"/>
                <w:szCs w:val="16"/>
              </w:rPr>
              <w:t xml:space="preserve">    x availability_fraction</w:t>
            </w:r>
          </w:p>
          <w:p>
            <w:pPr>
              <w:spacing w:after="0" w:before="0" w:line="240"/>
            </w:pPr>
            <w:r>
              <w:rPr>
                <w:rFonts w:ascii="Courier New" w:cs="Courier New" w:eastAsia="Courier New" w:hAnsi="Courier New"/>
                <w:color w:val="FFFFFF"/>
                <w:sz w:val="16"/>
                <w:szCs w:val="16"/>
              </w:rPr>
              <w:t xml:space="preserve">    x competency_match</w:t>
            </w:r>
          </w:p>
          <w:p>
            <w:pPr>
              <w:spacing w:after="0" w:before="0" w:line="240"/>
            </w:pPr>
            <w:r>
              <w:rPr>
                <w:rFonts w:ascii="Courier New" w:cs="Courier New" w:eastAsia="Courier New" w:hAnsi="Courier New"/>
                <w:color w:val="FFFFFF"/>
                <w:sz w:val="16"/>
                <w:szCs w:val="16"/>
              </w:rPr>
              <w:t xml:space="preserve">    x service_calendar_fraction</w:t>
            </w:r>
          </w:p>
        </w:tc>
      </w:tr>
    </w:tbl>
    <w:p>
      <w:pPr>
        <w:spacing w:after="200" w:before="60"/>
      </w:pPr>
      <w:r>
        <w:rPr>
          <w:rFonts w:ascii="Arial" w:cs="Arial" w:eastAsia="Arial" w:hAnsi="Arial"/>
          <w:i/>
          <w:iCs/>
          <w:color w:val="666666"/>
          <w:sz w:val="15"/>
          <w:szCs w:val="15"/>
        </w:rPr>
        <w:t xml:space="preserve">Figure 12.1 — Model effective capacity, not nominal capacity.</w:t>
      </w:r>
    </w:p>
    <w:p>
      <w:pPr>
        <w:keepNext w:val="false"/>
        <w:spacing w:after="120" w:before="0" w:line="276"/>
        <w:jc w:val="left"/>
      </w:pPr>
      <w:r>
        <w:rPr>
          <w:rFonts w:ascii="Arial" w:cs="Arial" w:eastAsia="Arial" w:hAnsi="Arial"/>
          <w:b w:val="false"/>
          <w:bCs w:val="false"/>
          <w:i w:val="false"/>
          <w:iCs w:val="false"/>
          <w:color w:val="0E0E11"/>
          <w:sz w:val="22"/>
          <w:szCs w:val="22"/>
        </w:rPr>
        <w:t xml:space="preserve">Resource findings must be labelled with one of: observed_unavailability; capacity_mismatch_candidate; scheduling_mismatch_candidate; skill_mix_candidate; equipment_or_location_candidate; supply_candidate; demand_surge_candidate; or insufficient_evidence. The last label is a legitimate and frequently correct output.</w:t>
      </w:r>
    </w:p>
    <w:p>
      <w:pPr>
        <w:keepNext/>
        <w:spacing w:after="120" w:before="320"/>
      </w:pPr>
      <w:r>
        <w:rPr>
          <w:rFonts w:ascii="Arial" w:cs="Arial" w:eastAsia="Arial" w:hAnsi="Arial"/>
          <w:b/>
          <w:bCs/>
          <w:color w:val="9B1B30"/>
          <w:sz w:val="32"/>
          <w:szCs w:val="32"/>
        </w:rPr>
        <w:t xml:space="preserve">12.4 Undue delay</w:t>
      </w:r>
    </w:p>
    <w:p>
      <w:pPr>
        <w:keepNext w:val="false"/>
        <w:spacing w:after="120" w:before="0" w:line="276"/>
        <w:jc w:val="left"/>
      </w:pPr>
      <w:r>
        <w:rPr>
          <w:rFonts w:ascii="Arial" w:cs="Arial" w:eastAsia="Arial" w:hAnsi="Arial"/>
          <w:b w:val="false"/>
          <w:bCs w:val="false"/>
          <w:i w:val="false"/>
          <w:iCs w:val="false"/>
          <w:color w:val="0E0E11"/>
          <w:sz w:val="22"/>
          <w:szCs w:val="22"/>
        </w:rPr>
        <w:t xml:space="preserve">An observed delay becomes "undue" only relative to an approved clinical or operational expectation; patient-specific applicability; a valid anchor and clock; approved exceptions; adequate data coverage; and relevant clinical context.</w:t>
      </w:r>
    </w:p>
    <w:p>
      <w:pPr>
        <w:keepNext w:val="false"/>
        <w:spacing w:after="120" w:before="0" w:line="276"/>
        <w:jc w:val="left"/>
      </w:pPr>
      <w:r>
        <w:rPr>
          <w:rFonts w:ascii="Arial" w:cs="Arial" w:eastAsia="Arial" w:hAnsi="Arial"/>
          <w:b w:val="false"/>
          <w:bCs w:val="false"/>
          <w:i w:val="false"/>
          <w:iCs w:val="false"/>
          <w:color w:val="0E0E11"/>
          <w:sz w:val="22"/>
          <w:szCs w:val="22"/>
        </w:rPr>
        <w:t xml:space="preserve">Report the target step; expected interval; actual interval; signed variance; patient harm or risk linkage if reviewed; queue and process decomposition; resource and barrier evidence; source coverage; confidence; and review status.</w:t>
      </w:r>
    </w:p>
    <w:p>
      <w:pPr>
        <w:keepNext/>
        <w:spacing w:after="100" w:before="240"/>
      </w:pPr>
      <w:r>
        <w:rPr>
          <w:rFonts w:ascii="Arial" w:cs="Arial" w:eastAsia="Arial" w:hAnsi="Arial"/>
          <w:b/>
          <w:bCs/>
          <w:color w:val="0E0E11"/>
          <w:sz w:val="26"/>
          <w:szCs w:val="26"/>
        </w:rPr>
        <w:t xml:space="preserve">Decompose the delay</w:t>
      </w:r>
    </w:p>
    <w:p>
      <w:pPr>
        <w:keepNext w:val="false"/>
        <w:spacing w:after="120" w:before="0" w:line="276"/>
        <w:jc w:val="left"/>
      </w:pPr>
      <w:r>
        <w:rPr>
          <w:rFonts w:ascii="Arial" w:cs="Arial" w:eastAsia="Arial" w:hAnsi="Arial"/>
          <w:b w:val="false"/>
          <w:bCs w:val="false"/>
          <w:i w:val="false"/>
          <w:iCs w:val="false"/>
          <w:color w:val="0E0E11"/>
          <w:sz w:val="22"/>
          <w:szCs w:val="22"/>
        </w:rPr>
        <w:t xml:space="preserve">Twelve delay classes must be separated, because they have different owners and different remedies: recognition delay; order delay; acceptance delay; scheduling delay; readiness delay; queue wait; transport delay; processing delay; result verification delay; acknowledgment delay; disposition delay; and documentation or ingestion delay.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The twelfth class is the one that embarrasses programs</w:t>
            </w:r>
          </w:p>
          <w:p>
            <w:pPr>
              <w:spacing w:after="60" w:line="264"/>
            </w:pPr>
            <w:r>
              <w:rPr>
                <w:rFonts w:ascii="Arial" w:cs="Arial" w:eastAsia="Arial" w:hAnsi="Arial"/>
                <w:color w:val="0E0E11"/>
                <w:sz w:val="20"/>
                <w:szCs w:val="20"/>
              </w:rPr>
              <w:t xml:space="preserve">Documentation and ingestion delay is a property of the measurement system, not of care. If it is not separated out, integration latency is reported to clinicians as clinical lateness.</w:t>
            </w:r>
          </w:p>
        </w:tc>
      </w:tr>
    </w:tbl>
    <w:p>
      <w:pPr>
        <w:spacing w:after="160"/>
      </w:pPr>
    </w:p>
    <w:p>
      <w:pPr>
        <w:keepNext/>
        <w:spacing w:after="120" w:before="320"/>
      </w:pPr>
      <w:r>
        <w:rPr>
          <w:rFonts w:ascii="Arial" w:cs="Arial" w:eastAsia="Arial" w:hAnsi="Arial"/>
          <w:b/>
          <w:bCs/>
          <w:color w:val="9B1B30"/>
          <w:sz w:val="32"/>
          <w:szCs w:val="32"/>
        </w:rPr>
        <w:t xml:space="preserve">12.5 Medical error and safety screening</w:t>
      </w:r>
    </w:p>
    <w:p>
      <w:pPr>
        <w:keepNext w:val="false"/>
        <w:spacing w:after="120" w:before="0" w:line="276"/>
        <w:jc w:val="left"/>
      </w:pPr>
      <w:r>
        <w:rPr>
          <w:rFonts w:ascii="Arial" w:cs="Arial" w:eastAsia="Arial" w:hAnsi="Arial"/>
          <w:b/>
          <w:bCs/>
          <w:i w:val="false"/>
          <w:iCs w:val="false"/>
          <w:color w:val="0E0E11"/>
          <w:sz w:val="22"/>
          <w:szCs w:val="22"/>
        </w:rPr>
        <w:t xml:space="preserve">A pathway deviation is not automatically a medical error.</w:t>
      </w:r>
      <w:r>
        <w:rPr>
          <w:rFonts w:ascii="Arial" w:cs="Arial" w:eastAsia="Arial" w:hAnsi="Arial"/>
          <w:color w:val="0E0E11"/>
          <w:sz w:val="22"/>
          <w:szCs w:val="22"/>
        </w:rPr>
        <w:t xml:space="preserve"> Appropriate care may deviate because of contraindication, patient preference, a competing condition, transfer history, goals of care, or an incomplete data feed. Conversely, harm can occur even when the pathway was followed exactly.</w:t>
      </w:r>
    </w:p>
    <w:p>
      <w:pPr>
        <w:keepNext w:val="false"/>
        <w:spacing w:after="120" w:before="0" w:line="276"/>
        <w:jc w:val="left"/>
      </w:pPr>
      <w:r>
        <w:rPr>
          <w:rFonts w:ascii="Arial" w:cs="Arial" w:eastAsia="Arial" w:hAnsi="Arial"/>
          <w:b w:val="false"/>
          <w:bCs w:val="false"/>
          <w:i w:val="false"/>
          <w:iCs w:val="false"/>
          <w:color w:val="0E0E11"/>
          <w:sz w:val="22"/>
          <w:szCs w:val="22"/>
        </w:rPr>
        <w:t xml:space="preserve">Zephyrus should produce a safety screen when approved logic detects potentially omitted required care; potentially unsafe timing or order; a medication, allergy, or dose concern; an unacknowledged critical result; an unplanned return to procedure; an unexpected escalation; transfer to higher acuity; selected complications; mortality or readmission signals; conflicting or corrected documentation; or a safety report linked to the patient episode.</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screen then enters governed review using chart review; an incident report or AHRQ Common Formats-aligned record; medication administration and pharmacy evidence; the procedure or case log; diagnostic result history; staffing and resource history; patient or family report; harm classification; preventability review; and reviewer rationale.</w:t>
      </w:r>
    </w:p>
    <w:p>
      <w:pPr>
        <w:keepNext/>
        <w:spacing w:after="100" w:before="240"/>
      </w:pPr>
      <w:r>
        <w:rPr>
          <w:rFonts w:ascii="Arial" w:cs="Arial" w:eastAsia="Arial" w:hAnsi="Arial"/>
          <w:b/>
          <w:bCs/>
          <w:color w:val="0E0E11"/>
          <w:sz w:val="26"/>
          <w:szCs w:val="26"/>
        </w:rPr>
        <w:t xml:space="preserve">Allowed review conclusions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100"/>
        <w:gridCol w:w="6260"/>
      </w:tblGrid>
      <w:tr>
        <w:trPr>
          <w:tblHeader/>
        </w:trPr>
        <w:tc>
          <w:tcPr>
            <w:tcW w:type="dxa" w:w="31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Conclusion</w:t>
            </w:r>
          </w:p>
        </w:tc>
        <w:tc>
          <w:tcPr>
            <w:tcW w:type="dxa" w:w="62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What it asserts</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 event</w:t>
            </w:r>
          </w:p>
        </w:tc>
        <w:tc>
          <w:tcPr>
            <w:tcW w:type="dxa" w:w="62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screen did not correspond to a real occurrence</w:t>
            </w:r>
          </w:p>
        </w:tc>
      </w:tr>
      <w:tr>
        <w:tc>
          <w:tcPr>
            <w:tcW w:type="dxa" w:w="3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 artifact</w:t>
            </w:r>
          </w:p>
        </w:tc>
        <w:tc>
          <w:tcPr>
            <w:tcW w:type="dxa" w:w="62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signal was produced by source, binding, or identity error</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expected variation</w:t>
            </w:r>
          </w:p>
        </w:tc>
        <w:tc>
          <w:tcPr>
            <w:tcW w:type="dxa" w:w="62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Within normal, appropriate clinical variability</w:t>
            </w:r>
          </w:p>
        </w:tc>
      </w:tr>
      <w:tr>
        <w:tc>
          <w:tcPr>
            <w:tcW w:type="dxa" w:w="3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justified exception</w:t>
            </w:r>
          </w:p>
        </w:tc>
        <w:tc>
          <w:tcPr>
            <w:tcW w:type="dxa" w:w="62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Deviation was clinically appropriate and evidenced</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process deviation without harm</w:t>
            </w:r>
          </w:p>
        </w:tc>
        <w:tc>
          <w:tcPr>
            <w:tcW w:type="dxa" w:w="62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Deviation occurred; no patient harm identified</w:t>
            </w:r>
          </w:p>
        </w:tc>
      </w:tr>
      <w:tr>
        <w:tc>
          <w:tcPr>
            <w:tcW w:type="dxa" w:w="3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near miss</w:t>
            </w:r>
          </w:p>
        </w:tc>
        <w:tc>
          <w:tcPr>
            <w:tcW w:type="dxa" w:w="62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Harm was averted</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adverse event</w:t>
            </w:r>
          </w:p>
        </w:tc>
        <w:tc>
          <w:tcPr>
            <w:tcW w:type="dxa" w:w="62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Harm occurred; preventability not yet assessed</w:t>
            </w:r>
          </w:p>
        </w:tc>
      </w:tr>
      <w:tr>
        <w:tc>
          <w:tcPr>
            <w:tcW w:type="dxa" w:w="3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preventability indeterminate</w:t>
            </w:r>
          </w:p>
        </w:tc>
        <w:tc>
          <w:tcPr>
            <w:tcW w:type="dxa" w:w="62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Insufficient evidence to judge preventability</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potentially preventable</w:t>
            </w:r>
          </w:p>
        </w:tc>
        <w:tc>
          <w:tcPr>
            <w:tcW w:type="dxa" w:w="62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Reviewer judgement, explicitly qualified</w:t>
            </w:r>
          </w:p>
        </w:tc>
      </w:tr>
      <w:tr>
        <w:tc>
          <w:tcPr>
            <w:tcW w:type="dxa" w:w="31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confirmed preventable</w:t>
            </w:r>
          </w:p>
        </w:tc>
        <w:tc>
          <w:tcPr>
            <w:tcW w:type="dxa" w:w="62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Supported by full review</w:t>
            </w:r>
          </w:p>
        </w:tc>
      </w:tr>
      <w:tr>
        <w:tc>
          <w:tcPr>
            <w:tcW w:type="dxa" w:w="31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needs formal review</w:t>
            </w:r>
          </w:p>
        </w:tc>
        <w:tc>
          <w:tcPr>
            <w:tcW w:type="dxa" w:w="62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Escalated beyond the screening workflow</w:t>
            </w:r>
          </w:p>
        </w:tc>
      </w:tr>
    </w:tbl>
    <w:p>
      <w:pPr>
        <w:spacing w:after="200" w:before="60"/>
      </w:pPr>
      <w:r>
        <w:rPr>
          <w:rFonts w:ascii="Arial" w:cs="Arial" w:eastAsia="Arial" w:hAnsi="Arial"/>
          <w:i/>
          <w:iCs/>
          <w:color w:val="666666"/>
          <w:sz w:val="15"/>
          <w:szCs w:val="15"/>
        </w:rPr>
        <w:t xml:space="preserve">Table 12.1 — Safety-screen conclusions. Note that four of the eleven are non-events or data findings; a screening system that cannot express those will overstate harm.</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AHRQ systems approach and root-cause analysis guidance emphasise system contributors and corrective action. Analytics can organise evidence and generate hypotheses; it must not auto-assign individual blame or claim causality.</w:t>
      </w:r>
    </w:p>
    <w:p>
      <w:pPr>
        <w:keepNext/>
        <w:spacing w:after="160" w:before="400"/>
      </w:pPr>
      <w:r>
        <w:rPr>
          <w:rFonts w:ascii="Arial" w:cs="Arial" w:eastAsia="Arial" w:hAnsi="Arial"/>
          <w:b/>
          <w:bCs/>
          <w:color w:val="9B1B30"/>
          <w:sz w:val="38"/>
          <w:szCs w:val="38"/>
        </w:rPr>
        <w:t xml:space="preserve">13. Conformance strategy</w:t>
      </w:r>
    </w:p>
    <w:p>
      <w:pPr>
        <w:keepNext/>
        <w:spacing w:after="120" w:before="320"/>
      </w:pPr>
      <w:r>
        <w:rPr>
          <w:rFonts w:ascii="Arial" w:cs="Arial" w:eastAsia="Arial" w:hAnsi="Arial"/>
          <w:b/>
          <w:bCs/>
          <w:color w:val="9B1B30"/>
          <w:sz w:val="32"/>
          <w:szCs w:val="32"/>
        </w:rPr>
        <w:t xml:space="preserve">13.1 Deterministic constraint evaluator</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deterministic evaluator is the primary and safety-critical evaluator. It handles applicability; required and optional state; branch selection; accepted substitutions; event matching; order; temporal windows; repeat counts; missing and extra evidence; exception handling; and coverage.</w:t>
      </w:r>
    </w:p>
    <w:p>
      <w:pPr>
        <w:keepNext w:val="false"/>
        <w:spacing w:after="120" w:before="0" w:line="276"/>
        <w:jc w:val="left"/>
      </w:pPr>
      <w:r>
        <w:rPr>
          <w:rFonts w:ascii="Arial" w:cs="Arial" w:eastAsia="Arial" w:hAnsi="Arial"/>
          <w:b w:val="false"/>
          <w:bCs w:val="false"/>
          <w:i w:val="false"/>
          <w:iCs w:val="false"/>
          <w:color w:val="0E0E11"/>
          <w:sz w:val="22"/>
          <w:szCs w:val="22"/>
        </w:rPr>
        <w:t xml:space="preserve">It is reproducible, testable, explainable, and suitable for patient-level evidence ledgers. Those four properties are why it comes first.</w:t>
      </w:r>
    </w:p>
    <w:p>
      <w:pPr>
        <w:keepNext/>
        <w:spacing w:after="120" w:before="320"/>
      </w:pPr>
      <w:r>
        <w:rPr>
          <w:rFonts w:ascii="Arial" w:cs="Arial" w:eastAsia="Arial" w:hAnsi="Arial"/>
          <w:b/>
          <w:bCs/>
          <w:color w:val="9B1B30"/>
          <w:sz w:val="32"/>
          <w:szCs w:val="32"/>
        </w:rPr>
        <w:t xml:space="preserve">13.2 Declarative constraints</w:t>
      </w:r>
    </w:p>
    <w:p>
      <w:pPr>
        <w:keepNext w:val="false"/>
        <w:spacing w:after="120" w:before="0" w:line="276"/>
        <w:jc w:val="left"/>
      </w:pPr>
      <w:r>
        <w:rPr>
          <w:rFonts w:ascii="Arial" w:cs="Arial" w:eastAsia="Arial" w:hAnsi="Arial"/>
          <w:b w:val="false"/>
          <w:bCs w:val="false"/>
          <w:i w:val="false"/>
          <w:iCs w:val="false"/>
          <w:color w:val="0E0E11"/>
          <w:sz w:val="22"/>
          <w:szCs w:val="22"/>
        </w:rPr>
        <w:t xml:space="preserve">Many pathways are not simple sequences. Declarative constraints are appropriate for response and existence; precedence; coexistence; mutual exclusion; alternate response; bounded repeat; absence within a window; and branch-specific obligations.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health-process conformance literature supports using multiple representations, because clinical pathways include flexibility, temporal constraints, and exception-rich care that a single procedural model cannot express without over-constraining.</w:t>
      </w:r>
    </w:p>
    <w:p>
      <w:pPr>
        <w:keepNext/>
        <w:spacing w:after="120" w:before="320"/>
      </w:pPr>
      <w:r>
        <w:rPr>
          <w:rFonts w:ascii="Arial" w:cs="Arial" w:eastAsia="Arial" w:hAnsi="Arial"/>
          <w:b/>
          <w:bCs/>
          <w:color w:val="9B1B30"/>
          <w:sz w:val="32"/>
          <w:szCs w:val="32"/>
        </w:rPr>
        <w:t xml:space="preserve">13.3 Object-centric alignments</w:t>
      </w:r>
    </w:p>
    <w:p>
      <w:pPr>
        <w:keepNext w:val="false"/>
        <w:spacing w:after="120" w:before="0" w:line="276"/>
        <w:jc w:val="left"/>
      </w:pPr>
      <w:r>
        <w:rPr>
          <w:rFonts w:ascii="Arial" w:cs="Arial" w:eastAsia="Arial" w:hAnsi="Arial"/>
          <w:b w:val="false"/>
          <w:bCs w:val="false"/>
          <w:i w:val="false"/>
          <w:iCs w:val="false"/>
          <w:color w:val="0E0E11"/>
          <w:sz w:val="22"/>
          <w:szCs w:val="22"/>
        </w:rPr>
        <w:t xml:space="preserve">Object-centric alignments can explain interactions across encounters, orders, specimens, medications, procedures, tasks, and resources without flattening to one case ID. Synchronisation-aware alignment, however, carries significant computational complexity.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4680"/>
        <w:gridCol w:w="4680"/>
      </w:tblGrid>
      <w:tr>
        <w:trPr>
          <w:tblHeader/>
        </w:trPr>
        <w:tc>
          <w:tcPr>
            <w:tcW w:type="dxa" w:w="46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Use alignments for</w:t>
            </w:r>
          </w:p>
        </w:tc>
        <w:tc>
          <w:tcPr>
            <w:tcW w:type="dxa" w:w="46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Do not use alignments for</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Retrospective explanation</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immediate alert path</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Disputed cases</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Any safety-critical first evaluation</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Sampled quality review</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Real-time dashboards</w:t>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Model validation</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Unbounded cohort scoring</w:t>
            </w:r>
          </w:p>
        </w:tc>
      </w:tr>
      <w:tr>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Discovery of alternative observed paths</w:t>
            </w:r>
          </w:p>
        </w:tc>
        <w:tc>
          <w:tcPr>
            <w:tcW w:type="dxa" w:w="4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
            </w:r>
          </w:p>
        </w:tc>
      </w:tr>
      <w:tr>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Cohort research</w:t>
            </w:r>
          </w:p>
        </w:tc>
        <w:tc>
          <w:tcPr>
            <w:tcW w:type="dxa" w:w="4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
            </w:r>
          </w:p>
        </w:tc>
      </w:tr>
    </w:tbl>
    <w:p>
      <w:pPr>
        <w:spacing w:after="200" w:before="60"/>
      </w:pPr>
      <w:r>
        <w:rPr>
          <w:rFonts w:ascii="Arial" w:cs="Arial" w:eastAsia="Arial" w:hAnsi="Arial"/>
          <w:i/>
          <w:iCs/>
          <w:color w:val="666666"/>
          <w:sz w:val="15"/>
          <w:szCs w:val="15"/>
        </w:rPr>
        <w:t xml:space="preserve">Table 13.1 — Alignment scope. Research on object-centric alignments and synchronisation supports their explanatory value while also showing why scalability must be controlled.</w:t>
      </w:r>
    </w:p>
    <w:p>
      <w:pPr>
        <w:keepNext/>
        <w:spacing w:after="120" w:before="320"/>
      </w:pPr>
      <w:r>
        <w:rPr>
          <w:rFonts w:ascii="Arial" w:cs="Arial" w:eastAsia="Arial" w:hAnsi="Arial"/>
          <w:b/>
          <w:bCs/>
          <w:color w:val="9B1B30"/>
          <w:sz w:val="32"/>
          <w:szCs w:val="32"/>
        </w:rPr>
        <w:t xml:space="preserve">13.4 Process discovery</w:t>
      </w:r>
    </w:p>
    <w:p>
      <w:pPr>
        <w:keepNext w:val="false"/>
        <w:spacing w:after="120" w:before="0" w:line="276"/>
        <w:jc w:val="left"/>
      </w:pPr>
      <w:r>
        <w:rPr>
          <w:rFonts w:ascii="Arial" w:cs="Arial" w:eastAsia="Arial" w:hAnsi="Arial"/>
          <w:b w:val="false"/>
          <w:bCs w:val="false"/>
          <w:i w:val="false"/>
          <w:iCs w:val="false"/>
          <w:color w:val="0E0E11"/>
          <w:sz w:val="22"/>
          <w:szCs w:val="22"/>
        </w:rPr>
        <w:t xml:space="preserve">Discovery answers "what usually happened", not "what should happen." Use it to find common variants; identify unmodelled operational steps; find repeated work and loops; locate handoff and queue patterns; compare sites or shifts; propose definition refinements; and identify missing source bindings.</w:t>
      </w:r>
    </w:p>
    <w:p>
      <w:pPr>
        <w:keepNext w:val="false"/>
        <w:spacing w:after="120" w:before="0" w:line="276"/>
        <w:jc w:val="left"/>
      </w:pPr>
      <w:r>
        <w:rPr>
          <w:rFonts w:ascii="Arial" w:cs="Arial" w:eastAsia="Arial" w:hAnsi="Arial"/>
          <w:b/>
          <w:bCs/>
          <w:i w:val="false"/>
          <w:iCs w:val="false"/>
          <w:color w:val="0E0E11"/>
          <w:sz w:val="22"/>
          <w:szCs w:val="22"/>
        </w:rPr>
        <w:t xml:space="preserve">Never promote a discovered path to a clinical standard</w:t>
      </w:r>
      <w:r>
        <w:rPr>
          <w:rFonts w:ascii="Arial" w:cs="Arial" w:eastAsia="Arial" w:hAnsi="Arial"/>
          <w:color w:val="0E0E11"/>
          <w:sz w:val="22"/>
          <w:szCs w:val="22"/>
        </w:rPr>
        <w:t xml:space="preserve"> without evidence review, clinical approval, and versioning. Discovery describes current practice, including its defects.</w:t>
      </w:r>
    </w:p>
    <w:p>
      <w:pPr>
        <w:keepNext/>
        <w:spacing w:after="160" w:before="400"/>
      </w:pPr>
      <w:r>
        <w:rPr>
          <w:rFonts w:ascii="Arial" w:cs="Arial" w:eastAsia="Arial" w:hAnsi="Arial"/>
          <w:b/>
          <w:bCs/>
          <w:color w:val="9B1B30"/>
          <w:sz w:val="38"/>
          <w:szCs w:val="38"/>
        </w:rPr>
        <w:t xml:space="preserve">14. Data quality and confidence</w:t>
      </w:r>
    </w:p>
    <w:p>
      <w:pPr>
        <w:keepNext/>
        <w:spacing w:after="120" w:before="320"/>
      </w:pPr>
      <w:r>
        <w:rPr>
          <w:rFonts w:ascii="Arial" w:cs="Arial" w:eastAsia="Arial" w:hAnsi="Arial"/>
          <w:b/>
          <w:bCs/>
          <w:color w:val="9B1B30"/>
          <w:sz w:val="32"/>
          <w:szCs w:val="32"/>
        </w:rPr>
        <w:t xml:space="preserve">14.1 Three dimensions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harmonised data-quality framework organises quality into conformance, completeness, and plausibility. Each pathway result should carry all three: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Conformance — type, format, value set, relationship, and source-contract validity.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Completeness — expected source, object, event family, field, and time-window coverage.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Plausibility — temporal, logical, and distributional reasonableness.</w:t>
      </w:r>
    </w:p>
    <w:p>
      <w:pPr>
        <w:keepNext/>
        <w:spacing w:after="120" w:before="320"/>
      </w:pPr>
      <w:r>
        <w:rPr>
          <w:rFonts w:ascii="Arial" w:cs="Arial" w:eastAsia="Arial" w:hAnsi="Arial"/>
          <w:b/>
          <w:bCs/>
          <w:color w:val="9B1B30"/>
          <w:sz w:val="32"/>
          <w:szCs w:val="32"/>
        </w:rPr>
        <w:t xml:space="preserve">14.2 Coverage is measure-specific</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There is no single global completeness flag. Coverage must be computed per required evidence family and persisted per measurement run.</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000"/>
        <w:gridCol w:w="6360"/>
      </w:tblGrid>
      <w:tr>
        <w:trPr>
          <w:tblHeader/>
        </w:trPr>
        <w:tc>
          <w:tcPr>
            <w:tcW w:type="dxa" w:w="30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Measure family</w:t>
            </w:r>
          </w:p>
        </w:tc>
        <w:tc>
          <w:tcPr>
            <w:tcW w:type="dxa" w:w="63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Required evidence coverage</w:t>
            </w:r>
          </w:p>
        </w:tc>
      </w:tr>
      <w:tr>
        <w:tc>
          <w:tcPr>
            <w:tcW w:type="dxa" w:w="3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Lab timing</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Orders, specimens, and results — plus timestamp roles for each</w:t>
            </w:r>
          </w:p>
        </w:tc>
      </w:tr>
      <w:tr>
        <w:tc>
          <w:tcPr>
            <w:tcW w:type="dxa" w:w="3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Medication administration</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MAR coverage, not merely medication orders</w:t>
            </w:r>
          </w:p>
        </w:tc>
      </w:tr>
      <w:tr>
        <w:tc>
          <w:tcPr>
            <w:tcW w:type="dxa" w:w="3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Consult waiting</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Request, accept, start, and complete lifecycle</w:t>
            </w:r>
          </w:p>
        </w:tc>
      </w:tr>
      <w:tr>
        <w:tc>
          <w:tcPr>
            <w:tcW w:type="dxa" w:w="3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Transport attribution</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patient / encounter / work-object relationship</w:t>
            </w:r>
          </w:p>
        </w:tc>
      </w:tr>
      <w:tr>
        <w:tc>
          <w:tcPr>
            <w:tcW w:type="dxa" w:w="3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Staffing inference</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Shift, role, and capacity data</w:t>
            </w:r>
          </w:p>
        </w:tc>
      </w:tr>
      <w:tr>
        <w:tc>
          <w:tcPr>
            <w:tcW w:type="dxa" w:w="3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Medical-error review</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Safety reporting and chart evidence</w:t>
            </w:r>
          </w:p>
        </w:tc>
      </w:tr>
    </w:tbl>
    <w:p>
      <w:pPr>
        <w:spacing w:after="200" w:before="60"/>
      </w:pPr>
      <w:r>
        <w:rPr>
          <w:rFonts w:ascii="Arial" w:cs="Arial" w:eastAsia="Arial" w:hAnsi="Arial"/>
          <w:i/>
          <w:iCs/>
          <w:color w:val="666666"/>
          <w:sz w:val="15"/>
          <w:szCs w:val="15"/>
        </w:rPr>
        <w:t xml:space="preserve">Table 14.1 — Coverage by measure family. Note the second row: the current OCEL has 435 medication-bearing events and no MAR contract — medication timeliness is not measurable today.</w:t>
      </w:r>
    </w:p>
    <w:p>
      <w:pPr>
        <w:keepNext/>
        <w:spacing w:after="120" w:before="320"/>
      </w:pPr>
      <w:r>
        <w:rPr>
          <w:rFonts w:ascii="Arial" w:cs="Arial" w:eastAsia="Arial" w:hAnsi="Arial"/>
          <w:b/>
          <w:bCs/>
          <w:color w:val="9B1B30"/>
          <w:sz w:val="32"/>
          <w:szCs w:val="32"/>
        </w:rPr>
        <w:t xml:space="preserve">14.3 Confidence must not hide missingness</w:t>
      </w:r>
    </w:p>
    <w:p>
      <w:pPr>
        <w:keepNext w:val="false"/>
        <w:spacing w:after="120" w:before="0" w:line="276"/>
        <w:jc w:val="left"/>
      </w:pPr>
      <w:r>
        <w:rPr>
          <w:rFonts w:ascii="Arial" w:cs="Arial" w:eastAsia="Arial" w:hAnsi="Arial"/>
          <w:b w:val="false"/>
          <w:bCs w:val="false"/>
          <w:i w:val="false"/>
          <w:iCs w:val="false"/>
          <w:color w:val="0E0E11"/>
          <w:sz w:val="22"/>
          <w:szCs w:val="22"/>
        </w:rPr>
        <w:t xml:space="preserve">Confidence can summarise assignment certainty; binding specificity; identity certainty; timestamp precision; source freshness; event-match ambiguity; coverage; correction stability; and reviewer confirmation.</w:t>
      </w:r>
    </w:p>
    <w:p>
      <w:pPr>
        <w:keepNext w:val="false"/>
        <w:spacing w:after="120" w:before="0" w:line="276"/>
        <w:jc w:val="left"/>
      </w:pPr>
      <w:r>
        <w:rPr>
          <w:rFonts w:ascii="Arial" w:cs="Arial" w:eastAsia="Arial" w:hAnsi="Arial"/>
          <w:b/>
          <w:bCs/>
          <w:i w:val="false"/>
          <w:iCs w:val="false"/>
          <w:color w:val="0E0E11"/>
          <w:sz w:val="22"/>
          <w:szCs w:val="22"/>
        </w:rPr>
        <w:t xml:space="preserve">The interface must show the reasons.</w:t>
      </w:r>
      <w:r>
        <w:rPr>
          <w:rFonts w:ascii="Arial" w:cs="Arial" w:eastAsia="Arial" w:hAnsi="Arial"/>
          <w:color w:val="0E0E11"/>
          <w:sz w:val="22"/>
          <w:szCs w:val="22"/>
        </w:rPr>
        <w:t xml:space="preserve"> A single opaque confidence score is not adequate for clinical or operational review — it converts a diagnosable integration problem into an unfalsifiable number.</w:t>
      </w:r>
    </w:p>
    <w:p>
      <w:pPr>
        <w:pBdr>
          <w:bottom w:val="single" w:color="C9A227" w:sz="12" w:space="6"/>
        </w:pBdr>
        <w:spacing w:after="60" w:before="480"/>
      </w:pPr>
      <w:r>
        <w:rPr>
          <w:rFonts w:ascii="Arial" w:cs="Arial" w:eastAsia="Arial" w:hAnsi="Arial"/>
          <w:b/>
          <w:bCs/>
          <w:color w:val="C9A227"/>
          <w:spacing w:val="120"/>
          <w:sz w:val="19"/>
          <w:szCs w:val="19"/>
        </w:rPr>
        <w:t xml:space="preserve">PART IV — VALIDATION, GOVERNANCE, AND A WORKED EXAMPLE</w:t>
      </w:r>
    </w:p>
    <w:p>
      <w:pPr>
        <w:spacing w:after="120"/>
      </w:pPr>
    </w:p>
    <w:p>
      <w:pPr>
        <w:keepNext/>
        <w:spacing w:after="160" w:before="400"/>
      </w:pPr>
      <w:r>
        <w:rPr>
          <w:rFonts w:ascii="Arial" w:cs="Arial" w:eastAsia="Arial" w:hAnsi="Arial"/>
          <w:b/>
          <w:bCs/>
          <w:color w:val="9B1B30"/>
          <w:sz w:val="38"/>
          <w:szCs w:val="38"/>
        </w:rPr>
        <w:t xml:space="preserve">15. Clinical validation and measure testing</w:t>
      </w:r>
    </w:p>
    <w:p>
      <w:pPr>
        <w:keepNext/>
        <w:spacing w:after="120" w:before="320"/>
      </w:pPr>
      <w:r>
        <w:rPr>
          <w:rFonts w:ascii="Arial" w:cs="Arial" w:eastAsia="Arial" w:hAnsi="Arial"/>
          <w:b/>
          <w:bCs/>
          <w:color w:val="9B1B30"/>
          <w:sz w:val="32"/>
          <w:szCs w:val="32"/>
        </w:rPr>
        <w:t xml:space="preserve">15.1 Static definition validation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Before clinical approval, an automated validator must prove twelve properties. A definition that fails any of them cannot be submitted for approval.</w:t>
      </w:r>
    </w:p>
    <w:p>
      <w:pPr>
        <w:pStyle w:val="ListParagraph"/>
        <w:numPr>
          <w:ilvl w:val="0"/>
          <w:numId w:val="7"/>
        </w:numPr>
        <w:spacing w:after="60" w:before="20" w:line="276"/>
      </w:pPr>
      <w:r>
        <w:rPr>
          <w:rFonts w:ascii="Arial" w:cs="Arial" w:eastAsia="Arial" w:hAnsi="Arial"/>
          <w:color w:val="0E0E11"/>
          <w:sz w:val="22"/>
          <w:szCs w:val="22"/>
        </w:rPr>
        <w:t xml:space="preserve">All IDs and references resolve.</w:t>
      </w:r>
    </w:p>
    <w:p>
      <w:pPr>
        <w:pStyle w:val="ListParagraph"/>
        <w:numPr>
          <w:ilvl w:val="0"/>
          <w:numId w:val="7"/>
        </w:numPr>
        <w:spacing w:after="60" w:before="20" w:line="276"/>
      </w:pPr>
      <w:r>
        <w:rPr>
          <w:rFonts w:ascii="Arial" w:cs="Arial" w:eastAsia="Arial" w:hAnsi="Arial"/>
          <w:color w:val="0E0E11"/>
          <w:sz w:val="22"/>
          <w:szCs w:val="22"/>
        </w:rPr>
        <w:t xml:space="preserve">Graph cycles are explicitly bounded.</w:t>
      </w:r>
    </w:p>
    <w:p>
      <w:pPr>
        <w:pStyle w:val="ListParagraph"/>
        <w:numPr>
          <w:ilvl w:val="0"/>
          <w:numId w:val="7"/>
        </w:numPr>
        <w:spacing w:after="60" w:before="20" w:line="276"/>
      </w:pPr>
      <w:r>
        <w:rPr>
          <w:rFonts w:ascii="Arial" w:cs="Arial" w:eastAsia="Arial" w:hAnsi="Arial"/>
          <w:color w:val="0E0E11"/>
          <w:sz w:val="22"/>
          <w:szCs w:val="22"/>
        </w:rPr>
        <w:t xml:space="preserve">Every required step has a binding — or a declared observability gap.</w:t>
      </w:r>
    </w:p>
    <w:p>
      <w:pPr>
        <w:pStyle w:val="ListParagraph"/>
        <w:numPr>
          <w:ilvl w:val="0"/>
          <w:numId w:val="7"/>
        </w:numPr>
        <w:spacing w:after="60" w:before="20" w:line="276"/>
      </w:pPr>
      <w:r>
        <w:rPr>
          <w:rFonts w:ascii="Arial" w:cs="Arial" w:eastAsia="Arial" w:hAnsi="Arial"/>
          <w:color w:val="0E0E11"/>
          <w:sz w:val="22"/>
          <w:szCs w:val="22"/>
        </w:rPr>
        <w:t xml:space="preserve">All timing constraints have anchors and clocks.</w:t>
      </w:r>
    </w:p>
    <w:p>
      <w:pPr>
        <w:pStyle w:val="ListParagraph"/>
        <w:numPr>
          <w:ilvl w:val="0"/>
          <w:numId w:val="7"/>
        </w:numPr>
        <w:spacing w:after="60" w:before="20" w:line="276"/>
      </w:pPr>
      <w:r>
        <w:rPr>
          <w:rFonts w:ascii="Arial" w:cs="Arial" w:eastAsia="Arial" w:hAnsi="Arial"/>
          <w:color w:val="0E0E11"/>
          <w:sz w:val="22"/>
          <w:szCs w:val="22"/>
        </w:rPr>
        <w:t xml:space="preserve">All branch predicates are typed.</w:t>
      </w:r>
    </w:p>
    <w:p>
      <w:pPr>
        <w:pStyle w:val="ListParagraph"/>
        <w:numPr>
          <w:ilvl w:val="0"/>
          <w:numId w:val="7"/>
        </w:numPr>
        <w:spacing w:after="60" w:before="20" w:line="276"/>
      </w:pPr>
      <w:r>
        <w:rPr>
          <w:rFonts w:ascii="Arial" w:cs="Arial" w:eastAsia="Arial" w:hAnsi="Arial"/>
          <w:color w:val="0E0E11"/>
          <w:sz w:val="22"/>
          <w:szCs w:val="22"/>
        </w:rPr>
        <w:t xml:space="preserve">All terminology systems and versions are present.</w:t>
      </w:r>
    </w:p>
    <w:p>
      <w:pPr>
        <w:pStyle w:val="ListParagraph"/>
        <w:numPr>
          <w:ilvl w:val="0"/>
          <w:numId w:val="7"/>
        </w:numPr>
        <w:spacing w:after="60" w:before="20" w:line="276"/>
      </w:pPr>
      <w:r>
        <w:rPr>
          <w:rFonts w:ascii="Arial" w:cs="Arial" w:eastAsia="Arial" w:hAnsi="Arial"/>
          <w:color w:val="0E0E11"/>
          <w:sz w:val="22"/>
          <w:szCs w:val="22"/>
        </w:rPr>
        <w:t xml:space="preserve">Candidate and approved codes are structurally separated.</w:t>
      </w:r>
    </w:p>
    <w:p>
      <w:pPr>
        <w:pStyle w:val="ListParagraph"/>
        <w:numPr>
          <w:ilvl w:val="0"/>
          <w:numId w:val="7"/>
        </w:numPr>
        <w:spacing w:after="60" w:before="20" w:line="276"/>
      </w:pPr>
      <w:r>
        <w:rPr>
          <w:rFonts w:ascii="Arial" w:cs="Arial" w:eastAsia="Arial" w:hAnsi="Arial"/>
          <w:color w:val="0E0E11"/>
          <w:sz w:val="22"/>
          <w:szCs w:val="22"/>
        </w:rPr>
        <w:t xml:space="preserve">Every rule has provenance.</w:t>
      </w:r>
    </w:p>
    <w:p>
      <w:pPr>
        <w:pStyle w:val="ListParagraph"/>
        <w:numPr>
          <w:ilvl w:val="0"/>
          <w:numId w:val="7"/>
        </w:numPr>
        <w:spacing w:after="60" w:before="20" w:line="276"/>
      </w:pPr>
      <w:r>
        <w:rPr>
          <w:rFonts w:ascii="Arial" w:cs="Arial" w:eastAsia="Arial" w:hAnsi="Arial"/>
          <w:color w:val="0E0E11"/>
          <w:sz w:val="22"/>
          <w:szCs w:val="22"/>
        </w:rPr>
        <w:t xml:space="preserve">No retired code is silently accepted.</w:t>
      </w:r>
    </w:p>
    <w:p>
      <w:pPr>
        <w:pStyle w:val="ListParagraph"/>
        <w:numPr>
          <w:ilvl w:val="0"/>
          <w:numId w:val="7"/>
        </w:numPr>
        <w:spacing w:after="60" w:before="20" w:line="276"/>
      </w:pPr>
      <w:r>
        <w:rPr>
          <w:rFonts w:ascii="Arial" w:cs="Arial" w:eastAsia="Arial" w:hAnsi="Arial"/>
          <w:color w:val="0E0E11"/>
          <w:sz w:val="22"/>
          <w:szCs w:val="22"/>
        </w:rPr>
        <w:t xml:space="preserve">Exceptions name an authority and an evidence requirement.</w:t>
      </w:r>
    </w:p>
    <w:p>
      <w:pPr>
        <w:pStyle w:val="ListParagraph"/>
        <w:numPr>
          <w:ilvl w:val="0"/>
          <w:numId w:val="7"/>
        </w:numPr>
        <w:spacing w:after="60" w:before="20" w:line="276"/>
      </w:pPr>
      <w:r>
        <w:rPr>
          <w:rFonts w:ascii="Arial" w:cs="Arial" w:eastAsia="Arial" w:hAnsi="Arial"/>
          <w:color w:val="0E0E11"/>
          <w:sz w:val="22"/>
          <w:szCs w:val="22"/>
        </w:rPr>
        <w:t xml:space="preserve">Measures have denominators and exclusions.</w:t>
      </w:r>
    </w:p>
    <w:p>
      <w:pPr>
        <w:pStyle w:val="ListParagraph"/>
        <w:numPr>
          <w:ilvl w:val="0"/>
          <w:numId w:val="7"/>
        </w:numPr>
        <w:spacing w:after="60" w:before="20" w:line="276"/>
      </w:pPr>
      <w:r>
        <w:rPr>
          <w:rFonts w:ascii="Arial" w:cs="Arial" w:eastAsia="Arial" w:hAnsi="Arial"/>
          <w:color w:val="0E0E11"/>
          <w:sz w:val="22"/>
          <w:szCs w:val="22"/>
        </w:rPr>
        <w:t xml:space="preserve">Audience projections are explicit.</w:t>
      </w:r>
    </w:p>
    <w:p>
      <w:pPr>
        <w:keepNext/>
        <w:spacing w:after="120" w:before="320"/>
      </w:pPr>
      <w:r>
        <w:rPr>
          <w:rFonts w:ascii="Arial" w:cs="Arial" w:eastAsia="Arial" w:hAnsi="Arial"/>
          <w:b/>
          <w:bCs/>
          <w:color w:val="9B1B30"/>
          <w:sz w:val="32"/>
          <w:szCs w:val="32"/>
        </w:rPr>
        <w:t xml:space="preserve">15.2 Synthetic executable fixtures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Every pathway version needs fixtures for seventeen scenarios. These are executable tests, and their expected ledger rows must be asserted — not merely a final score.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400"/>
        <w:gridCol w:w="6960"/>
      </w:tblGrid>
      <w:tr>
        <w:trPr>
          <w:tblHeader/>
        </w:trPr>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Fixture family</w:t>
            </w:r>
          </w:p>
        </w:tc>
        <w:tc>
          <w:tcPr>
            <w:tcW w:type="dxa" w:w="6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Cases</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Happy path</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Ideal on-time path</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Branching</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Each valid branch; each approved alternative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Exceptions</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Each exception and contraindication</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Timing</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Early event; late event; daylight-saving and timezone boundary where relevant</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Evidence defects</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Missing event; duplicate event; out-of-order event</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 lifecycle</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Corrected or canceled event; late-arriving source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Scope</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Cross-encounter episode; transfer from another institution; concurrent pathway</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 quality</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Missing source coverage; ambiguous terminology match</w:t>
            </w:r>
          </w:p>
        </w:tc>
      </w:tr>
    </w:tbl>
    <w:p>
      <w:pPr>
        <w:spacing w:after="200" w:before="60"/>
      </w:pPr>
      <w:r>
        <w:rPr>
          <w:rFonts w:ascii="Arial" w:cs="Arial" w:eastAsia="Arial" w:hAnsi="Arial"/>
          <w:i/>
          <w:iCs/>
          <w:color w:val="666666"/>
          <w:sz w:val="15"/>
          <w:szCs w:val="15"/>
        </w:rPr>
        <w:t xml:space="preserve">Table 15.1 — Required fixture families. A pathway with 40 expected activities and 12 branches typically produces 60–120 fixtures; this is the dominant per-pathway engineering cost after normalisation.</w:t>
      </w:r>
    </w:p>
    <w:p>
      <w:pPr>
        <w:keepNext/>
        <w:spacing w:after="120" w:before="320"/>
      </w:pPr>
      <w:r>
        <w:rPr>
          <w:rFonts w:ascii="Arial" w:cs="Arial" w:eastAsia="Arial" w:hAnsi="Arial"/>
          <w:b/>
          <w:bCs/>
          <w:color w:val="9B1B30"/>
          <w:sz w:val="32"/>
          <w:szCs w:val="32"/>
        </w:rPr>
        <w:t xml:space="preserve">15.3 Gold cases and inter-rater agreement</w:t>
      </w:r>
    </w:p>
    <w:p>
      <w:pPr>
        <w:keepNext w:val="false"/>
        <w:spacing w:after="120" w:before="0" w:line="276"/>
        <w:jc w:val="left"/>
      </w:pPr>
      <w:r>
        <w:rPr>
          <w:rFonts w:ascii="Arial" w:cs="Arial" w:eastAsia="Arial" w:hAnsi="Arial"/>
          <w:b w:val="false"/>
          <w:bCs w:val="false"/>
          <w:i w:val="false"/>
          <w:iCs w:val="false"/>
          <w:color w:val="0E0E11"/>
          <w:sz w:val="22"/>
          <w:szCs w:val="22"/>
        </w:rPr>
        <w:t xml:space="preserve">For every pilot pathway:</w:t>
      </w:r>
    </w:p>
    <w:p>
      <w:pPr>
        <w:pStyle w:val="ListParagraph"/>
        <w:numPr>
          <w:ilvl w:val="0"/>
          <w:numId w:val="8"/>
        </w:numPr>
        <w:spacing w:after="60" w:before="20" w:line="276"/>
      </w:pPr>
      <w:r>
        <w:rPr>
          <w:rFonts w:ascii="Arial" w:cs="Arial" w:eastAsia="Arial" w:hAnsi="Arial"/>
          <w:color w:val="0E0E11"/>
          <w:sz w:val="22"/>
          <w:szCs w:val="22"/>
        </w:rPr>
        <w:t xml:space="preserve">Define sampling strata, including normal and likely-deviation cases.</w:t>
      </w:r>
    </w:p>
    <w:p>
      <w:pPr>
        <w:pStyle w:val="ListParagraph"/>
        <w:numPr>
          <w:ilvl w:val="0"/>
          <w:numId w:val="8"/>
        </w:numPr>
        <w:spacing w:after="60" w:before="20" w:line="276"/>
      </w:pPr>
      <w:r>
        <w:rPr>
          <w:rFonts w:ascii="Arial" w:cs="Arial" w:eastAsia="Arial" w:hAnsi="Arial"/>
          <w:color w:val="0E0E11"/>
          <w:sz w:val="22"/>
          <w:szCs w:val="22"/>
        </w:rPr>
        <w:t xml:space="preserve">Create a structured abstraction form.</w:t>
      </w:r>
    </w:p>
    <w:p>
      <w:pPr>
        <w:pStyle w:val="ListParagraph"/>
        <w:numPr>
          <w:ilvl w:val="0"/>
          <w:numId w:val="8"/>
        </w:numPr>
        <w:spacing w:after="60" w:before="20" w:line="276"/>
      </w:pPr>
      <w:r>
        <w:rPr>
          <w:rFonts w:ascii="Arial" w:cs="Arial" w:eastAsia="Arial" w:hAnsi="Arial"/>
          <w:color w:val="0E0E11"/>
          <w:sz w:val="22"/>
          <w:szCs w:val="22"/>
        </w:rPr>
        <w:t xml:space="preserve">Blind at least two qualified reviewers for an initial subset.</w:t>
      </w:r>
    </w:p>
    <w:p>
      <w:pPr>
        <w:pStyle w:val="ListParagraph"/>
        <w:numPr>
          <w:ilvl w:val="0"/>
          <w:numId w:val="8"/>
        </w:numPr>
        <w:spacing w:after="60" w:before="20" w:line="276"/>
      </w:pPr>
      <w:r>
        <w:rPr>
          <w:rFonts w:ascii="Arial" w:cs="Arial" w:eastAsia="Arial" w:hAnsi="Arial"/>
          <w:color w:val="0E0E11"/>
          <w:sz w:val="22"/>
          <w:szCs w:val="22"/>
        </w:rPr>
        <w:t xml:space="preserve">Measure agreement for applicability, step state, timing, exception, and safety-screen disposition.</w:t>
      </w:r>
    </w:p>
    <w:p>
      <w:pPr>
        <w:pStyle w:val="ListParagraph"/>
        <w:numPr>
          <w:ilvl w:val="0"/>
          <w:numId w:val="8"/>
        </w:numPr>
        <w:spacing w:after="60" w:before="20" w:line="276"/>
      </w:pPr>
      <w:r>
        <w:rPr>
          <w:rFonts w:ascii="Arial" w:cs="Arial" w:eastAsia="Arial" w:hAnsi="Arial"/>
          <w:color w:val="0E0E11"/>
          <w:sz w:val="22"/>
          <w:szCs w:val="22"/>
        </w:rPr>
        <w:t xml:space="preserve">Adjudicate disagreements.</w:t>
      </w:r>
    </w:p>
    <w:p>
      <w:pPr>
        <w:pStyle w:val="ListParagraph"/>
        <w:numPr>
          <w:ilvl w:val="0"/>
          <w:numId w:val="8"/>
        </w:numPr>
        <w:spacing w:after="60" w:before="20" w:line="276"/>
      </w:pPr>
      <w:r>
        <w:rPr>
          <w:rFonts w:ascii="Arial" w:cs="Arial" w:eastAsia="Arial" w:hAnsi="Arial"/>
          <w:color w:val="0E0E11"/>
          <w:sz w:val="22"/>
          <w:szCs w:val="22"/>
        </w:rPr>
        <w:t xml:space="preserve">Refine rules and bindings.</w:t>
      </w:r>
    </w:p>
    <w:p>
      <w:pPr>
        <w:pStyle w:val="ListParagraph"/>
        <w:numPr>
          <w:ilvl w:val="0"/>
          <w:numId w:val="8"/>
        </w:numPr>
        <w:spacing w:after="60" w:before="20" w:line="276"/>
      </w:pPr>
      <w:r>
        <w:rPr>
          <w:rFonts w:ascii="Arial" w:cs="Arial" w:eastAsia="Arial" w:hAnsi="Arial"/>
          <w:color w:val="0E0E11"/>
          <w:sz w:val="22"/>
          <w:szCs w:val="22"/>
        </w:rPr>
        <w:t xml:space="preserve">Freeze a gold set.</w:t>
      </w:r>
    </w:p>
    <w:p>
      <w:pPr>
        <w:pStyle w:val="ListParagraph"/>
        <w:numPr>
          <w:ilvl w:val="0"/>
          <w:numId w:val="8"/>
        </w:numPr>
        <w:spacing w:after="60" w:before="20" w:line="276"/>
      </w:pPr>
      <w:r>
        <w:rPr>
          <w:rFonts w:ascii="Arial" w:cs="Arial" w:eastAsia="Arial" w:hAnsi="Arial"/>
          <w:color w:val="0E0E11"/>
          <w:sz w:val="22"/>
          <w:szCs w:val="22"/>
        </w:rPr>
        <w:t xml:space="preserve">Evaluate sensitivity, specificity, positive predictive value, negative predictive value, and calibration where applicable.</w:t>
      </w:r>
    </w:p>
    <w:p>
      <w:pPr>
        <w:pStyle w:val="ListParagraph"/>
        <w:numPr>
          <w:ilvl w:val="0"/>
          <w:numId w:val="8"/>
        </w:numPr>
        <w:spacing w:after="60" w:before="20" w:line="276"/>
      </w:pPr>
      <w:r>
        <w:rPr>
          <w:rFonts w:ascii="Arial" w:cs="Arial" w:eastAsia="Arial" w:hAnsi="Arial"/>
          <w:color w:val="0E0E11"/>
          <w:sz w:val="22"/>
          <w:szCs w:val="22"/>
        </w:rPr>
        <w:t xml:space="preserve">Repeat after material source, terminology, or definition changes.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Step 9 is a standing obligation, not a project task</w:t>
            </w:r>
          </w:p>
          <w:p>
            <w:pPr>
              <w:spacing w:after="60" w:line="264"/>
            </w:pPr>
            <w:r>
              <w:rPr>
                <w:rFonts w:ascii="Arial" w:cs="Arial" w:eastAsia="Arial" w:hAnsi="Arial"/>
                <w:color w:val="0E0E11"/>
                <w:sz w:val="20"/>
                <w:szCs w:val="20"/>
              </w:rPr>
              <w:t xml:space="preserve">A terminology release, a source-system upgrade, an interface change, or a definition revision each invalidate prior gold-set performance. Without scheduled revalidation, measured accuracy silently decays while reported accuracy stays fixed at its commissioning value.</w:t>
            </w:r>
          </w:p>
        </w:tc>
      </w:tr>
    </w:tbl>
    <w:p>
      <w:pPr>
        <w:spacing w:after="160"/>
      </w:pPr>
    </w:p>
    <w:p>
      <w:pPr>
        <w:keepNext/>
        <w:spacing w:after="120" w:before="320"/>
      </w:pPr>
      <w:r>
        <w:rPr>
          <w:rFonts w:ascii="Arial" w:cs="Arial" w:eastAsia="Arial" w:hAnsi="Arial"/>
          <w:b/>
          <w:bCs/>
          <w:color w:val="9B1B30"/>
          <w:sz w:val="32"/>
          <w:szCs w:val="32"/>
        </w:rPr>
        <w:t xml:space="preserve">15.4 Measure evaluation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CMS measure-testing guidance emphasises importance, scientific acceptability, feasibility, and usability. That discipline is appropriate even for internal measures. For each metric, test: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Face and content validity.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Data-element validity.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Construct or criterion validity where possible.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Reliability at the intended unit of analysis.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Exclusion and exception reproducibility.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Missing-data sensitivity.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Risk-adjustment performance where risk adjustment is claimed.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Unintended incentives.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Feasibility and source burden.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Interpretability.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Fairness.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Actionability.</w:t>
      </w:r>
    </w:p>
    <w:p>
      <w:pPr>
        <w:keepNext/>
        <w:spacing w:after="120" w:before="320"/>
      </w:pPr>
      <w:r>
        <w:rPr>
          <w:rFonts w:ascii="Arial" w:cs="Arial" w:eastAsia="Arial" w:hAnsi="Arial"/>
          <w:b/>
          <w:bCs/>
          <w:color w:val="9B1B30"/>
          <w:sz w:val="32"/>
          <w:szCs w:val="32"/>
        </w:rPr>
        <w:t xml:space="preserve">15.5 Shadow mode</w:t>
      </w:r>
    </w:p>
    <w:p>
      <w:pPr>
        <w:keepNext w:val="false"/>
        <w:spacing w:after="120" w:before="0" w:line="276"/>
        <w:jc w:val="left"/>
      </w:pPr>
      <w:r>
        <w:rPr>
          <w:rFonts w:ascii="Arial" w:cs="Arial" w:eastAsia="Arial" w:hAnsi="Arial"/>
          <w:b w:val="false"/>
          <w:bCs w:val="false"/>
          <w:i w:val="false"/>
          <w:iCs w:val="false"/>
          <w:color w:val="0E0E11"/>
          <w:sz w:val="22"/>
          <w:szCs w:val="22"/>
        </w:rPr>
        <w:t xml:space="preserve">No live operational or clinical consequence may occur during initial validation. Shadow mode computes results without alerts or scorecards; compares against chart review and existing operational records; records false positives and false negatives; measures data latency and corrections; assesses workload and alert burden; tests cohort stability; identifies service-line differences; and terminates in an explicit activation decision.</w:t>
      </w:r>
    </w:p>
    <w:p>
      <w:pPr>
        <w:keepNext/>
        <w:spacing w:after="160" w:before="400"/>
      </w:pPr>
      <w:r>
        <w:rPr>
          <w:rFonts w:ascii="Arial" w:cs="Arial" w:eastAsia="Arial" w:hAnsi="Arial"/>
          <w:b/>
          <w:bCs/>
          <w:color w:val="9B1B30"/>
          <w:sz w:val="38"/>
          <w:szCs w:val="38"/>
        </w:rPr>
        <w:t xml:space="preserve">16. Governance, safety, privacy, and fairness</w:t>
      </w:r>
    </w:p>
    <w:p>
      <w:pPr>
        <w:keepNext/>
        <w:spacing w:after="120" w:before="320"/>
      </w:pPr>
      <w:r>
        <w:rPr>
          <w:rFonts w:ascii="Arial" w:cs="Arial" w:eastAsia="Arial" w:hAnsi="Arial"/>
          <w:b/>
          <w:bCs/>
          <w:color w:val="9B1B30"/>
          <w:sz w:val="32"/>
          <w:szCs w:val="32"/>
        </w:rPr>
        <w:t xml:space="preserve">16.1 Approval gates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Eleven separate gates are required. Passing one gate does not imply another; in particular, a clinically approved definition with an unapproved binding must not be activated.</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400"/>
        <w:gridCol w:w="2200"/>
        <w:gridCol w:w="2700"/>
        <w:gridCol w:w="4060"/>
      </w:tblGrid>
      <w:tr>
        <w:trPr>
          <w:tblHeader/>
        </w:trPr>
        <w:tc>
          <w:tcPr>
            <w:tcW w:type="dxa" w:w="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t>
            </w:r>
          </w:p>
        </w:tc>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Gate</w:t>
            </w:r>
          </w:p>
        </w:tc>
        <w:tc>
          <w:tcPr>
            <w:tcW w:type="dxa" w:w="27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Approver</w:t>
            </w:r>
          </w:p>
        </w:tc>
        <w:tc>
          <w:tcPr>
            <w:tcW w:type="dxa" w:w="40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Proves</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 release acceptance</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 governance owner</w:t>
            </w:r>
          </w:p>
        </w:tc>
        <w:tc>
          <w:tcPr>
            <w:tcW w:type="dxa" w:w="40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Release identity, lineage, and reconciliation</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Narrative normalisation</w:t>
            </w:r>
          </w:p>
        </w:tc>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Knowledge engineering + clinical owner</w:t>
            </w:r>
          </w:p>
        </w:tc>
        <w:tc>
          <w:tcPr>
            <w:tcW w:type="dxa" w:w="40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Clauses became typed rules without meaning drift</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3</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Terminology / coding applicability</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Terminology specialist + HIM/coding</w:t>
            </w:r>
          </w:p>
        </w:tc>
        <w:tc>
          <w:tcPr>
            <w:tcW w:type="dxa" w:w="40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Codes belong in this pathway</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4</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Local observation binding</w:t>
            </w:r>
          </w:p>
        </w:tc>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informatics + data engineering</w:t>
            </w:r>
          </w:p>
        </w:tc>
        <w:tc>
          <w:tcPr>
            <w:tcW w:type="dxa" w:w="40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Local data can prove the expectation</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5</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definition</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Specialty clinician owner</w:t>
            </w:r>
          </w:p>
        </w:tc>
        <w:tc>
          <w:tcPr>
            <w:tcW w:type="dxa" w:w="40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expectation is clinically correct here</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6</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Measure</w:t>
            </w:r>
          </w:p>
        </w:tc>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 + measure owner</w:t>
            </w:r>
          </w:p>
        </w:tc>
        <w:tc>
          <w:tcPr>
            <w:tcW w:type="dxa" w:w="40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Numerator, denominator, and exclusions are sound</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7</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 quality</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Data engineering</w:t>
            </w:r>
          </w:p>
        </w:tc>
        <w:tc>
          <w:tcPr>
            <w:tcW w:type="dxa" w:w="40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Coverage and freshness thresholds are met</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8</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Shadow-mode validation</w:t>
            </w:r>
          </w:p>
        </w:tc>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 + clinical owner</w:t>
            </w:r>
          </w:p>
        </w:tc>
        <w:tc>
          <w:tcPr>
            <w:tcW w:type="dxa" w:w="40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Performance against gold cases is acceptable</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9</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Staff-facing activation</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Operational owner + human factors</w:t>
            </w:r>
          </w:p>
        </w:tc>
        <w:tc>
          <w:tcPr>
            <w:tcW w:type="dxa" w:w="40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surface is usable and not misleading</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10</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Prospective alert activation</w:t>
            </w:r>
          </w:p>
        </w:tc>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governance body</w:t>
            </w:r>
          </w:p>
        </w:tc>
        <w:tc>
          <w:tcPr>
            <w:tcW w:type="dxa" w:w="40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Alert latency and burden are safe</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11</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Patient-facing content</w:t>
            </w:r>
          </w:p>
        </w:tc>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 experience + clinical owner</w:t>
            </w:r>
          </w:p>
        </w:tc>
        <w:tc>
          <w:tcPr>
            <w:tcW w:type="dxa" w:w="40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Content is appropriate, plain-language, and non-accusatory</w:t>
            </w:r>
          </w:p>
        </w:tc>
      </w:tr>
    </w:tbl>
    <w:p>
      <w:pPr>
        <w:spacing w:after="200" w:before="60"/>
      </w:pPr>
      <w:r>
        <w:rPr>
          <w:rFonts w:ascii="Arial" w:cs="Arial" w:eastAsia="Arial" w:hAnsi="Arial"/>
          <w:i/>
          <w:iCs/>
          <w:color w:val="666666"/>
          <w:sz w:val="15"/>
          <w:szCs w:val="15"/>
        </w:rPr>
        <w:t xml:space="preserve">Table 16.1 — The eleven approval gates.</w:t>
      </w:r>
    </w:p>
    <w:p>
      <w:pPr>
        <w:keepNext/>
        <w:spacing w:after="120" w:before="320"/>
      </w:pPr>
      <w:r>
        <w:rPr>
          <w:rFonts w:ascii="Arial" w:cs="Arial" w:eastAsia="Arial" w:hAnsi="Arial"/>
          <w:b/>
          <w:bCs/>
          <w:color w:val="9B1B30"/>
          <w:sz w:val="32"/>
          <w:szCs w:val="32"/>
        </w:rPr>
        <w:t xml:space="preserve">16.2 Audience projections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same approved definition can have governed projections for a clinical reviewer detail view; operational flow detail; executive aggregate; the Arena analytical view; the Patient Flow 4D overlay; an Eddy explanation; and Hummingbird patient education or status.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The projection firewall</w:t>
            </w:r>
          </w:p>
          <w:p>
            <w:pPr>
              <w:spacing w:after="60" w:line="264"/>
            </w:pPr>
            <w:r>
              <w:rPr>
                <w:rFonts w:ascii="Arial" w:cs="Arial" w:eastAsia="Arial" w:hAnsi="Arial"/>
                <w:color w:val="0E0E11"/>
                <w:sz w:val="20"/>
                <w:szCs w:val="20"/>
              </w:rPr>
              <w:t xml:space="preserve">Raw research prose, candidate terminology, unsupported hypotheses, and unadjudicated error screens must never flow directly to patient-facing or assistant surfaces.</w:t>
            </w:r>
          </w:p>
          <w:p>
            <w:pPr>
              <w:spacing w:after="60" w:line="264"/>
            </w:pPr>
            <w:r>
              <w:rPr>
                <w:rFonts w:ascii="Arial" w:cs="Arial" w:eastAsia="Arial" w:hAnsi="Arial"/>
                <w:color w:val="0E0E11"/>
                <w:sz w:val="20"/>
                <w:szCs w:val="20"/>
              </w:rPr>
              <w:t xml:space="preserve">This is why the approved-catalog read service must remain the only route by which governed pathway projections reach downstream applications — a direct query from an assistant or a mobile BFF bypasses every gate above.</w:t>
            </w:r>
          </w:p>
        </w:tc>
      </w:tr>
    </w:tbl>
    <w:p>
      <w:pPr>
        <w:spacing w:after="160"/>
      </w:pPr>
    </w:p>
    <w:p>
      <w:pPr>
        <w:keepNext/>
        <w:spacing w:after="120" w:before="320"/>
      </w:pPr>
      <w:r>
        <w:rPr>
          <w:rFonts w:ascii="Arial" w:cs="Arial" w:eastAsia="Arial" w:hAnsi="Arial"/>
          <w:b/>
          <w:bCs/>
          <w:color w:val="9B1B30"/>
          <w:sz w:val="32"/>
          <w:szCs w:val="32"/>
        </w:rPr>
        <w:t xml:space="preserve">16.3 Misuse controls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following must be structurally prohibited, not merely discouraged: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Individual clinician ranking derived from unvalidated pathway deviations.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Punitive interpretation without a data-quality review.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Causal labels derived from correlation.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Comparison of units with materially different source coverage.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Small-cohort disclosure.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Patient-facing "error" or "noncompliance" labels.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Silent retroactive rescoring.</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Guideline activation based on DRG coverage.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Replacing clinician judgement with a model state.</w:t>
      </w:r>
    </w:p>
    <w:p>
      <w:pPr>
        <w:keepNext/>
        <w:spacing w:after="120" w:before="320"/>
      </w:pPr>
      <w:r>
        <w:rPr>
          <w:rFonts w:ascii="Arial" w:cs="Arial" w:eastAsia="Arial" w:hAnsi="Arial"/>
          <w:b/>
          <w:bCs/>
          <w:color w:val="9B1B30"/>
          <w:sz w:val="32"/>
          <w:szCs w:val="32"/>
        </w:rPr>
        <w:t xml:space="preserve">16.4 Privacy</w:t>
      </w:r>
    </w:p>
    <w:p>
      <w:pPr>
        <w:keepNext w:val="false"/>
        <w:spacing w:after="120" w:before="0" w:line="276"/>
        <w:jc w:val="left"/>
      </w:pPr>
      <w:r>
        <w:rPr>
          <w:rFonts w:ascii="Arial" w:cs="Arial" w:eastAsia="Arial" w:hAnsi="Arial"/>
          <w:b w:val="false"/>
          <w:bCs w:val="false"/>
          <w:i w:val="false"/>
          <w:iCs w:val="false"/>
          <w:color w:val="0E0E11"/>
          <w:sz w:val="22"/>
          <w:szCs w:val="22"/>
        </w:rPr>
        <w:t xml:space="preserve">Apply minimum-necessary access; purpose-based authorisation; audit logs; encrypted transport and storage; role-limited access to patient-level evidence; de-identification for research where appropriate; cohort-size suppression; controlled export; retention rules; and explicit governance for safety reports and reviewer notes.</w:t>
      </w:r>
    </w:p>
    <w:p>
      <w:pPr>
        <w:keepNext/>
        <w:spacing w:after="120" w:before="320"/>
      </w:pPr>
      <w:r>
        <w:rPr>
          <w:rFonts w:ascii="Arial" w:cs="Arial" w:eastAsia="Arial" w:hAnsi="Arial"/>
          <w:b/>
          <w:bCs/>
          <w:color w:val="9B1B30"/>
          <w:sz w:val="32"/>
          <w:szCs w:val="32"/>
        </w:rPr>
        <w:t xml:space="preserve">16.5 Fairness</w:t>
      </w:r>
    </w:p>
    <w:p>
      <w:pPr>
        <w:keepNext w:val="false"/>
        <w:spacing w:after="120" w:before="0" w:line="276"/>
        <w:jc w:val="left"/>
      </w:pPr>
      <w:r>
        <w:rPr>
          <w:rFonts w:ascii="Arial" w:cs="Arial" w:eastAsia="Arial" w:hAnsi="Arial"/>
          <w:b w:val="false"/>
          <w:bCs w:val="false"/>
          <w:i w:val="false"/>
          <w:iCs w:val="false"/>
          <w:color w:val="0E0E11"/>
          <w:sz w:val="22"/>
          <w:szCs w:val="22"/>
        </w:rPr>
        <w:t xml:space="preserve">Fairness analysis in this program is primarily a missingness problem. Because "missing" and "data_unavailable" are distinguished at the step level, coverage can be stratified by unit, service line, shift, payer, language, and demographic group, and the program can answer the question that matters: are we systematically reporting worse care for populations whose care is simply less well captured?</w:t>
      </w:r>
    </w:p>
    <w:p>
      <w:pPr>
        <w:keepNext w:val="false"/>
        <w:spacing w:after="120" w:before="0" w:line="276"/>
        <w:jc w:val="left"/>
      </w:pPr>
      <w:r>
        <w:rPr>
          <w:rFonts w:ascii="Arial" w:cs="Arial" w:eastAsia="Arial" w:hAnsi="Arial"/>
          <w:b w:val="false"/>
          <w:bCs w:val="false"/>
          <w:i w:val="false"/>
          <w:iCs w:val="false"/>
          <w:color w:val="0E0E11"/>
          <w:sz w:val="22"/>
          <w:szCs w:val="22"/>
        </w:rPr>
        <w:t xml:space="preserve">Any measure released for comparison across units must publish its coverage distribution alongside its point estimate, and must suppress comparisons where coverage differs beyond an approved threshold.</w:t>
      </w:r>
    </w:p>
    <w:p>
      <w:pPr>
        <w:keepNext/>
        <w:spacing w:after="160" w:before="400"/>
      </w:pPr>
      <w:r>
        <w:rPr>
          <w:rFonts w:ascii="Arial" w:cs="Arial" w:eastAsia="Arial" w:hAnsi="Arial"/>
          <w:b/>
          <w:bCs/>
          <w:color w:val="9B1B30"/>
          <w:sz w:val="38"/>
          <w:szCs w:val="38"/>
        </w:rPr>
        <w:t xml:space="preserve">17. Worked example: one pathway end to end</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This section illustrates the specification against a single, deliberately well-observed pathway. It is a modelling illustration, not a clinical recommendation, and every value shown is a placeholder pending institutional approval.</w:t>
      </w:r>
    </w:p>
    <w:p>
      <w:pPr>
        <w:keepNext/>
        <w:spacing w:after="120" w:before="320"/>
      </w:pPr>
      <w:r>
        <w:rPr>
          <w:rFonts w:ascii="Arial" w:cs="Arial" w:eastAsia="Arial" w:hAnsi="Arial"/>
          <w:b/>
          <w:bCs/>
          <w:color w:val="9B1B30"/>
          <w:sz w:val="32"/>
          <w:szCs w:val="32"/>
        </w:rPr>
        <w:t xml:space="preserve">17.1 Package header</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900"/>
        <w:gridCol w:w="6460"/>
      </w:tblGrid>
      <w:tr>
        <w:trPr>
          <w:tblHeader/>
        </w:trPr>
        <w:tc>
          <w:tcPr>
            <w:tcW w:type="dxa" w:w="29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Field</w:t>
            </w:r>
          </w:p>
        </w:tc>
        <w:tc>
          <w:tcPr>
            <w:tcW w:type="dxa" w:w="64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Illustrative value</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Pathway definition ID / key</w:t>
            </w:r>
          </w:p>
        </w:tc>
        <w:tc>
          <w:tcPr>
            <w:tcW w:type="dxa" w:w="6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cp_sepsis_septicemia</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Worklist rank / care type / service line</w:t>
            </w:r>
          </w:p>
        </w:tc>
        <w:tc>
          <w:tcPr>
            <w:tcW w:type="dxa" w:w="6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3 · Medical · Critical Care</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Readiness lane</w:t>
            </w:r>
          </w:p>
        </w:tc>
        <w:tc>
          <w:tcPr>
            <w:tcW w:type="dxa" w:w="6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Signoff → normalize</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Source specificity</w:t>
            </w:r>
          </w:p>
        </w:tc>
        <w:tc>
          <w:tcPr>
            <w:tcW w:type="dxa" w:w="6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Medium</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Technical complexity</w:t>
            </w:r>
          </w:p>
        </w:tc>
        <w:tc>
          <w:tcPr>
            <w:tcW w:type="dxa" w:w="6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very high — 136 clauses, 55 timing terms, 18 conditional terms</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Terminology candidates</w:t>
            </w:r>
          </w:p>
        </w:tc>
        <w:tc>
          <w:tcPr>
            <w:tcW w:type="dxa" w:w="6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LOINC 77 · CPT 0 · SNOMED CT 1 · ICD-10-CM 0</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Binding focus</w:t>
            </w:r>
          </w:p>
        </w:tc>
        <w:tc>
          <w:tcPr>
            <w:tcW w:type="dxa" w:w="6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LOINC candidate order/result bindings; SNOMED candidate clinical concepts</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Minimum object focus</w:t>
            </w:r>
          </w:p>
        </w:tc>
        <w:tc>
          <w:tcPr>
            <w:tcW w:type="dxa" w:w="6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Encounter; condition; orders/specimens/results; medications; location; team; barriers</w:t>
            </w:r>
          </w:p>
        </w:tc>
      </w:tr>
      <w:tr>
        <w:tc>
          <w:tcPr>
            <w:tcW w:type="dxa" w:w="2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Semantic version</w:t>
            </w:r>
          </w:p>
        </w:tc>
        <w:tc>
          <w:tcPr>
            <w:tcW w:type="dxa" w:w="64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43.1-local.1</w:t>
            </w:r>
          </w:p>
        </w:tc>
      </w:tr>
      <w:tr>
        <w:tc>
          <w:tcPr>
            <w:tcW w:type="dxa" w:w="2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Owners</w:t>
            </w:r>
          </w:p>
        </w:tc>
        <w:tc>
          <w:tcPr>
            <w:tcW w:type="dxa" w:w="64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Critical Care · Operational: RTDC · Knowledge engineering · Terminology reviewer</w:t>
            </w:r>
          </w:p>
        </w:tc>
      </w:tr>
    </w:tbl>
    <w:p>
      <w:pPr>
        <w:spacing w:after="200" w:before="60"/>
      </w:pPr>
      <w:r>
        <w:rPr>
          <w:rFonts w:ascii="Arial" w:cs="Arial" w:eastAsia="Arial" w:hAnsi="Arial"/>
          <w:i/>
          <w:iCs/>
          <w:color w:val="666666"/>
          <w:sz w:val="15"/>
          <w:szCs w:val="15"/>
        </w:rPr>
        <w:t xml:space="preserve">Table 17.1 — Package header for the worked example, drawn from Appendix A row 3.</w:t>
      </w:r>
    </w:p>
    <w:p>
      <w:pPr>
        <w:keepNext/>
        <w:spacing w:after="120" w:before="320"/>
      </w:pPr>
      <w:r>
        <w:rPr>
          <w:rFonts w:ascii="Arial" w:cs="Arial" w:eastAsia="Arial" w:hAnsi="Arial"/>
          <w:b/>
          <w:bCs/>
          <w:color w:val="9B1B30"/>
          <w:sz w:val="32"/>
          <w:szCs w:val="32"/>
        </w:rPr>
        <w:t xml:space="preserve">17.2 Applicability, expressed as executable predicates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2E" w:color="auto" w:val="clear"/>
            <w:tcMar>
              <w:top w:type="dxa" w:w="140"/>
              <w:left w:type="dxa" w:w="200"/>
              <w:bottom w:type="dxa" w:w="140"/>
              <w:right w:type="dxa" w:w="160"/>
            </w:tcMar>
          </w:tcPr>
          <w:p>
            <w:pPr>
              <w:spacing w:after="0" w:before="0" w:line="240"/>
            </w:pPr>
            <w:r>
              <w:rPr>
                <w:rFonts w:ascii="Courier New" w:cs="Courier New" w:eastAsia="Courier New" w:hAnsi="Courier New"/>
                <w:color w:val="FFFFFF"/>
                <w:sz w:val="16"/>
                <w:szCs w:val="16"/>
              </w:rPr>
              <w:t xml:space="preserve">inclusion:</w:t>
            </w:r>
          </w:p>
          <w:p>
            <w:pPr>
              <w:spacing w:after="0" w:before="0" w:line="240"/>
            </w:pPr>
            <w:r>
              <w:rPr>
                <w:rFonts w:ascii="Courier New" w:cs="Courier New" w:eastAsia="Courier New" w:hAnsi="Courier New"/>
                <w:color w:val="FFFFFF"/>
                <w:sz w:val="16"/>
                <w:szCs w:val="16"/>
              </w:rPr>
              <w:t xml:space="preserve">  encounter.class in {inpatient, emergency, observation}</w:t>
            </w:r>
          </w:p>
          <w:p>
            <w:pPr>
              <w:spacing w:after="0" w:before="0" w:line="240"/>
            </w:pPr>
            <w:r>
              <w:rPr>
                <w:rFonts w:ascii="Courier New" w:cs="Courier New" w:eastAsia="Courier New" w:hAnsi="Courier New"/>
                <w:color w:val="FFFFFF"/>
                <w:sz w:val="16"/>
                <w:szCs w:val="16"/>
              </w:rPr>
              <w:t xml:space="preserve">  AND condition.code in valueset(sepsis_applicability_vs@v1)</w:t>
            </w:r>
          </w:p>
          <w:p>
            <w:pPr>
              <w:spacing w:after="0" w:before="0" w:line="240"/>
            </w:pPr>
            <w:r>
              <w:rPr>
                <w:rFonts w:ascii="Courier New" w:cs="Courier New" w:eastAsia="Courier New" w:hAnsi="Courier New"/>
                <w:color w:val="FFFFFF"/>
                <w:sz w:val="16"/>
                <w:szCs w:val="16"/>
              </w:rPr>
              <w:t xml:space="preserve">       WITH clinical_status = active</w:t>
            </w:r>
          </w:p>
          <w:p>
            <w:pPr>
              <w:spacing w:after="0" w:before="0" w:line="240"/>
            </w:pPr>
            <w:r>
              <w:rPr>
                <w:rFonts w:ascii="Courier New" w:cs="Courier New" w:eastAsia="Courier New" w:hAnsi="Courier New"/>
                <w:color w:val="FFFFFF"/>
                <w:sz w:val="16"/>
                <w:szCs w:val="16"/>
              </w:rPr>
              <w:t xml:space="preserve">       AND verification_status in {provisional, confirmed}</w:t>
            </w:r>
          </w:p>
          <w:p>
            <w:pPr>
              <w:spacing w:after="0" w:before="0" w:line="240"/>
            </w:pPr>
            <w:r>
              <w:rPr>
                <w:rFonts w:ascii="Courier New" w:cs="Courier New" w:eastAsia="Courier New" w:hAnsi="Courier New"/>
                <w:color w:val="FFFFFF"/>
                <w:sz w:val="16"/>
                <w:szCs w:val="16"/>
              </w:rPr>
              <w:t xml:space="preserve">  AND confirmation.required = true          # clinician confirmation mandatory</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exclusion:</w:t>
            </w:r>
          </w:p>
          <w:p>
            <w:pPr>
              <w:spacing w:after="0" w:before="0" w:line="240"/>
            </w:pPr>
            <w:r>
              <w:rPr>
                <w:rFonts w:ascii="Courier New" w:cs="Courier New" w:eastAsia="Courier New" w:hAnsi="Courier New"/>
                <w:color w:val="FFFFFF"/>
                <w:sz w:val="16"/>
                <w:szCs w:val="16"/>
              </w:rPr>
              <w:t xml:space="preserve">  goals_of_care.status = comfort_measures_only  (as of anchor time)</w:t>
            </w:r>
          </w:p>
          <w:p>
            <w:pPr>
              <w:spacing w:after="0" w:before="0" w:line="240"/>
            </w:pPr>
            <w:r>
              <w:rPr>
                <w:rFonts w:ascii="Courier New" w:cs="Courier New" w:eastAsia="Courier New" w:hAnsi="Courier New"/>
                <w:color w:val="FFFFFF"/>
                <w:sz w:val="16"/>
                <w:szCs w:val="16"/>
              </w:rPr>
              <w:t xml:space="preserve">  OR encounter.transfer_in WITH prior_pathway_completed = true</w:t>
            </w:r>
          </w:p>
          <w:p>
            <w:pPr>
              <w:spacing w:after="0" w:before="0" w:line="240"/>
            </w:pPr>
            <w:r>
              <w:rPr>
                <w:rFonts w:ascii="Courier New" w:cs="Courier New" w:eastAsia="Courier New" w:hAnsi="Courier New"/>
                <w:color w:val="FFFFFF"/>
                <w:sz w:val="16"/>
                <w:szCs w:val="16"/>
              </w:rPr>
              <w:t xml:space="preserve">  OR age_at_encounter &lt; 18 years            # separate pediatric pathway</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precedence:</w:t>
            </w:r>
          </w:p>
          <w:p>
            <w:pPr>
              <w:spacing w:after="0" w:before="0" w:line="240"/>
            </w:pPr>
            <w:r>
              <w:rPr>
                <w:rFonts w:ascii="Courier New" w:cs="Courier New" w:eastAsia="Courier New" w:hAnsi="Courier New"/>
                <w:color w:val="FFFFFF"/>
                <w:sz w:val="16"/>
                <w:szCs w:val="16"/>
              </w:rPr>
              <w:t xml:space="preserve">  IF concurrent(cp_septic_shock) THEN cp_septic_shock takes precedence</w:t>
            </w:r>
          </w:p>
          <w:p>
            <w:pPr>
              <w:spacing w:after="0" w:before="0" w:line="240"/>
            </w:pPr>
            <w:r>
              <w:rPr>
                <w:rFonts w:ascii="Courier New" w:cs="Courier New" w:eastAsia="Courier New" w:hAnsi="Courier New"/>
                <w:color w:val="FFFFFF"/>
                <w:sz w:val="16"/>
                <w:szCs w:val="16"/>
              </w:rPr>
              <w:t xml:space="preserve"> </w:t>
            </w:r>
          </w:p>
          <w:p>
            <w:pPr>
              <w:spacing w:after="0" w:before="0" w:line="240"/>
            </w:pPr>
            <w:r>
              <w:rPr>
                <w:rFonts w:ascii="Courier New" w:cs="Courier New" w:eastAsia="Courier New" w:hAnsi="Courier New"/>
                <w:color w:val="FFFFFF"/>
                <w:sz w:val="16"/>
                <w:szCs w:val="16"/>
              </w:rPr>
              <w:t xml:space="preserve">lookback  = 30 days</w:t>
            </w:r>
          </w:p>
          <w:p>
            <w:pPr>
              <w:spacing w:after="0" w:before="0" w:line="240"/>
            </w:pPr>
            <w:r>
              <w:rPr>
                <w:rFonts w:ascii="Courier New" w:cs="Courier New" w:eastAsia="Courier New" w:hAnsi="Courier New"/>
                <w:color w:val="FFFFFF"/>
                <w:sz w:val="16"/>
                <w:szCs w:val="16"/>
              </w:rPr>
              <w:t xml:space="preserve">washout   = 72 hours from prior completed instance</w:t>
            </w:r>
          </w:p>
        </w:tc>
      </w:tr>
    </w:tbl>
    <w:p>
      <w:pPr>
        <w:spacing w:after="200" w:before="60"/>
      </w:pPr>
      <w:r>
        <w:rPr>
          <w:rFonts w:ascii="Arial" w:cs="Arial" w:eastAsia="Arial" w:hAnsi="Arial"/>
          <w:i/>
          <w:iCs/>
          <w:color w:val="666666"/>
          <w:sz w:val="15"/>
          <w:szCs w:val="15"/>
        </w:rPr>
        <w:t xml:space="preserve">Figure 17.1 — Applicability. Note that clinician confirmation is required: detection alone never establishes the denominator.</w:t>
      </w:r>
    </w:p>
    <w:p>
      <w:pPr>
        <w:keepNext/>
        <w:spacing w:after="120" w:before="320"/>
      </w:pPr>
      <w:r>
        <w:rPr>
          <w:rFonts w:ascii="Arial" w:cs="Arial" w:eastAsia="Arial" w:hAnsi="Arial"/>
          <w:b/>
          <w:bCs/>
          <w:color w:val="9B1B30"/>
          <w:sz w:val="32"/>
          <w:szCs w:val="32"/>
        </w:rPr>
        <w:t xml:space="preserve">17.3 A single atomic expected activity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7160"/>
      </w:tblGrid>
      <w:tr>
        <w:trPr>
          <w:tblHeader/>
        </w:trPr>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Property</w:t>
            </w:r>
          </w:p>
        </w:tc>
        <w:tc>
          <w:tcPr>
            <w:tcW w:type="dxa" w:w="71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Illustrative value</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Stable ID</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act.initial_lactate_resulted</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Meaning</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 initial serum lactate result is available</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Performer</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Laboratory (any credentialed performing lab in scope)</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Target object</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Specimen → Observation, linked to the confirmed Encounter</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Evidence state</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result_final (result_preliminary does not satisfy)</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Applicability</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Required on the primary branch; not applicable if branch = external_transfer_with_prior_result</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Timing</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Anchor = pathway_recognition; window [0, 60] minutes; clock = elapsed</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Substitution</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Point-of-care lactate with an approved local method code</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Exception</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Documented inability to obtain access, with an approved actor and evidence</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Binding</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Binding set sepsis_lactate@v2 — approved LOINC members plus local test codes; timestamp role = result_final_time</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Resource need</w:t>
            </w:r>
          </w:p>
        </w:tc>
        <w:tc>
          <w:tcPr>
            <w:tcW w:type="dxa" w:w="71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Phlebotomy or nursing draw capability; laboratory service calendar 24×7</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Provenance</w:t>
            </w:r>
          </w:p>
        </w:tc>
        <w:tc>
          <w:tcPr>
            <w:tcW w:type="dxa" w:w="71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Claim IDs from Claim_Audit; reviewer and approval date</w:t>
            </w:r>
          </w:p>
        </w:tc>
      </w:tr>
    </w:tbl>
    <w:p>
      <w:pPr>
        <w:spacing w:after="200" w:before="60"/>
      </w:pPr>
      <w:r>
        <w:rPr>
          <w:rFonts w:ascii="Arial" w:cs="Arial" w:eastAsia="Arial" w:hAnsi="Arial"/>
          <w:i/>
          <w:iCs/>
          <w:color w:val="666666"/>
          <w:sz w:val="15"/>
          <w:szCs w:val="15"/>
        </w:rPr>
        <w:t xml:space="preserve">Table 17.2 — One activity, fully specified. A pathway of this complexity produces on the order of 40–70 such records.</w:t>
      </w:r>
    </w:p>
    <w:p>
      <w:pPr>
        <w:keepNext/>
        <w:spacing w:after="120" w:before="320"/>
      </w:pPr>
      <w:r>
        <w:rPr>
          <w:rFonts w:ascii="Arial" w:cs="Arial" w:eastAsia="Arial" w:hAnsi="Arial"/>
          <w:b/>
          <w:bCs/>
          <w:color w:val="9B1B30"/>
          <w:sz w:val="32"/>
          <w:szCs w:val="32"/>
        </w:rPr>
        <w:t xml:space="preserve">17.4 The resulting step-measurement rows</w:t>
      </w:r>
    </w:p>
    <w:p>
      <w:pPr>
        <w:keepNext w:val="false"/>
        <w:spacing w:after="120" w:before="0" w:line="276"/>
        <w:jc w:val="left"/>
      </w:pPr>
      <w:r>
        <w:rPr>
          <w:rFonts w:ascii="Arial" w:cs="Arial" w:eastAsia="Arial" w:hAnsi="Arial"/>
          <w:b w:val="false"/>
          <w:bCs w:val="false"/>
          <w:i w:val="false"/>
          <w:iCs w:val="false"/>
          <w:color w:val="0E0E11"/>
          <w:sz w:val="22"/>
          <w:szCs w:val="22"/>
        </w:rPr>
        <w:t xml:space="preserve">For one patient instance, one run produces rows of this shape. Note that three of the four rows below are not care findings.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700"/>
        <w:gridCol w:w="1500"/>
        <w:gridCol w:w="1600"/>
        <w:gridCol w:w="1000"/>
        <w:gridCol w:w="900"/>
        <w:gridCol w:w="1660"/>
      </w:tblGrid>
      <w:tr>
        <w:trPr>
          <w:tblHeader/>
        </w:trPr>
        <w:tc>
          <w:tcPr>
            <w:tcW w:type="dxa" w:w="27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Activity</w:t>
            </w:r>
          </w:p>
        </w:tc>
        <w:tc>
          <w:tcPr>
            <w:tcW w:type="dxa" w:w="1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Applicability</w:t>
            </w:r>
          </w:p>
        </w:tc>
        <w:tc>
          <w:tcPr>
            <w:tcW w:type="dxa" w:w="16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State</w:t>
            </w:r>
          </w:p>
        </w:tc>
        <w:tc>
          <w:tcPr>
            <w:tcW w:type="dxa" w:w="10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Variance</w:t>
            </w:r>
          </w:p>
        </w:tc>
        <w:tc>
          <w:tcPr>
            <w:tcW w:type="dxa" w:w="9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Coverage</w:t>
            </w:r>
          </w:p>
        </w:tc>
        <w:tc>
          <w:tcPr>
            <w:tcW w:type="dxa" w:w="16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Explanation code</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act.initial_lactate_resulted</w:t>
            </w:r>
          </w:p>
        </w:tc>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required</w:t>
            </w:r>
          </w:p>
        </w:tc>
        <w:tc>
          <w:tcPr>
            <w:tcW w:type="dxa" w:w="1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met_late</w:t>
            </w:r>
          </w:p>
        </w:tc>
        <w:tc>
          <w:tcPr>
            <w:tcW w:type="dxa" w:w="1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+18 min</w:t>
            </w:r>
          </w:p>
        </w:tc>
        <w:tc>
          <w:tcPr>
            <w:tcW w:type="dxa" w:w="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high</w:t>
            </w:r>
          </w:p>
        </w:tc>
        <w:tc>
          <w:tcPr>
            <w:tcW w:type="dxa" w:w="1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ANCHOR_TO_RESULT_EXCEEDED</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act.blood_cultures_collected</w:t>
            </w:r>
          </w:p>
        </w:tc>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required</w:t>
            </w:r>
          </w:p>
        </w:tc>
        <w:tc>
          <w:tcPr>
            <w:tcW w:type="dxa" w:w="1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exception_approved</w:t>
            </w:r>
          </w:p>
        </w:tc>
        <w:tc>
          <w:tcPr>
            <w:tcW w:type="dxa" w:w="1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w:t>
            </w:r>
          </w:p>
        </w:tc>
        <w:tc>
          <w:tcPr>
            <w:tcW w:type="dxa" w:w="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high</w:t>
            </w:r>
          </w:p>
        </w:tc>
        <w:tc>
          <w:tcPr>
            <w:tcW w:type="dxa" w:w="16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PRIOR_ANTIBIOTIC_AT_REFERRING_SITE</w:t>
            </w:r>
          </w:p>
        </w:tc>
      </w:tr>
      <w:tr>
        <w:tc>
          <w:tcPr>
            <w:tcW w:type="dxa" w:w="2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act.repeat_lactate_resulted</w:t>
            </w:r>
          </w:p>
        </w:tc>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required</w:t>
            </w:r>
          </w:p>
        </w:tc>
        <w:tc>
          <w:tcPr>
            <w:tcW w:type="dxa" w:w="1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data_unavailable</w:t>
            </w:r>
          </w:p>
        </w:tc>
        <w:tc>
          <w:tcPr>
            <w:tcW w:type="dxa" w:w="10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w:t>
            </w:r>
          </w:p>
        </w:tc>
        <w:tc>
          <w:tcPr>
            <w:tcW w:type="dxa" w:w="9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low</w:t>
            </w:r>
          </w:p>
        </w:tc>
        <w:tc>
          <w:tcPr>
            <w:tcW w:type="dxa" w:w="16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NO_MAR_OR_RESULT_FEED_IN_WINDOW</w:t>
            </w:r>
          </w:p>
        </w:tc>
      </w:tr>
      <w:tr>
        <w:tc>
          <w:tcPr>
            <w:tcW w:type="dxa" w:w="2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act.vasopressor_initiated</w:t>
            </w:r>
          </w:p>
        </w:tc>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not_applicable</w:t>
            </w:r>
          </w:p>
        </w:tc>
        <w:tc>
          <w:tcPr>
            <w:tcW w:type="dxa" w:w="1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not_applicable</w:t>
            </w:r>
          </w:p>
        </w:tc>
        <w:tc>
          <w:tcPr>
            <w:tcW w:type="dxa" w:w="10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w:t>
            </w:r>
          </w:p>
        </w:tc>
        <w:tc>
          <w:tcPr>
            <w:tcW w:type="dxa" w:w="9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n/a</w:t>
            </w:r>
          </w:p>
        </w:tc>
        <w:tc>
          <w:tcPr>
            <w:tcW w:type="dxa" w:w="16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BRANCH_PREDICATE_FALSE</w:t>
            </w:r>
          </w:p>
        </w:tc>
      </w:tr>
    </w:tbl>
    <w:p>
      <w:pPr>
        <w:spacing w:after="200" w:before="60"/>
      </w:pPr>
      <w:r>
        <w:rPr>
          <w:rFonts w:ascii="Arial" w:cs="Arial" w:eastAsia="Arial" w:hAnsi="Arial"/>
          <w:i/>
          <w:iCs/>
          <w:color w:val="666666"/>
          <w:sz w:val="15"/>
          <w:szCs w:val="15"/>
        </w:rPr>
        <w:t xml:space="preserve">Table 17.3 — Step ledger extract. A pass/fail model would score rows 2, 3, and 4 as failures, producing a compliance figure that is wrong in three different ways.</w:t>
      </w:r>
    </w:p>
    <w:p>
      <w:pPr>
        <w:keepNext/>
        <w:spacing w:after="120" w:before="320"/>
      </w:pPr>
      <w:r>
        <w:rPr>
          <w:rFonts w:ascii="Arial" w:cs="Arial" w:eastAsia="Arial" w:hAnsi="Arial"/>
          <w:b/>
          <w:bCs/>
          <w:color w:val="9B1B30"/>
          <w:sz w:val="32"/>
          <w:szCs w:val="32"/>
        </w:rPr>
        <w:t xml:space="preserve">17.5 What the reviewer sees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reviewer interface must present, for each row: the definition version and digest that was pinned; the anchor event with its timestamp and timestamp role; every candidate event considered and why the selected one won; the binding set version used; the coverage assessment for each required evidence family; and the run that produced the row, together with any run that superseded it.</w:t>
      </w:r>
    </w:p>
    <w:p>
      <w:pPr>
        <w:keepNext w:val="false"/>
        <w:spacing w:after="120" w:before="0" w:line="276"/>
        <w:jc w:val="left"/>
      </w:pPr>
      <w:r>
        <w:rPr>
          <w:rFonts w:ascii="Arial" w:cs="Arial" w:eastAsia="Arial" w:hAnsi="Arial"/>
          <w:b/>
          <w:bCs/>
          <w:i w:val="false"/>
          <w:iCs w:val="false"/>
          <w:color w:val="0E0E11"/>
          <w:sz w:val="22"/>
          <w:szCs w:val="22"/>
        </w:rPr>
        <w:t xml:space="preserve">Nothing in that list is optional.</w:t>
      </w:r>
      <w:r>
        <w:rPr>
          <w:rFonts w:ascii="Arial" w:cs="Arial" w:eastAsia="Arial" w:hAnsi="Arial"/>
          <w:color w:val="0E0E11"/>
          <w:sz w:val="22"/>
          <w:szCs w:val="22"/>
        </w:rPr>
        <w:t xml:space="preserve"> A reviewer who cannot see the rejected candidates and the coverage assessment cannot distinguish a care problem from an integration problem, which is the single most common failure mode of pathway analytics programs.</w:t>
      </w:r>
    </w:p>
    <w:p>
      <w:pPr>
        <w:pBdr>
          <w:bottom w:val="single" w:color="C9A227" w:sz="12" w:space="6"/>
        </w:pBdr>
        <w:spacing w:after="60" w:before="480"/>
      </w:pPr>
      <w:r>
        <w:rPr>
          <w:rFonts w:ascii="Arial" w:cs="Arial" w:eastAsia="Arial" w:hAnsi="Arial"/>
          <w:b/>
          <w:bCs/>
          <w:color w:val="C9A227"/>
          <w:spacing w:val="120"/>
          <w:sz w:val="19"/>
          <w:szCs w:val="19"/>
        </w:rPr>
        <w:t xml:space="preserve">PART V — EXECUTION: SEQUENCING, ROADMAP, DECISIONS, AND RISK</w:t>
      </w:r>
    </w:p>
    <w:p>
      <w:pPr>
        <w:spacing w:after="120"/>
      </w:pPr>
    </w:p>
    <w:p>
      <w:pPr>
        <w:keepNext/>
        <w:spacing w:after="160" w:before="400"/>
      </w:pPr>
      <w:r>
        <w:rPr>
          <w:rFonts w:ascii="Arial" w:cs="Arial" w:eastAsia="Arial" w:hAnsi="Arial"/>
          <w:b/>
          <w:bCs/>
          <w:color w:val="9B1B30"/>
          <w:sz w:val="38"/>
          <w:szCs w:val="38"/>
        </w:rPr>
        <w:t xml:space="preserve">18. Work sequencing across all 250 pathways</w:t>
      </w:r>
    </w:p>
    <w:p>
      <w:pPr>
        <w:keepNext/>
        <w:spacing w:after="120" w:before="320"/>
      </w:pPr>
      <w:r>
        <w:rPr>
          <w:rFonts w:ascii="Arial" w:cs="Arial" w:eastAsia="Arial" w:hAnsi="Arial"/>
          <w:b/>
          <w:bCs/>
          <w:color w:val="9B1B30"/>
          <w:sz w:val="32"/>
          <w:szCs w:val="32"/>
        </w:rPr>
        <w:t xml:space="preserve">18.1 Readiness lanes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governed release assigns every pathway to one of three lanes. Lane is a technical and governance disposition — it is not clinical priority.</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500"/>
        <w:gridCol w:w="700"/>
        <w:gridCol w:w="3200"/>
        <w:gridCol w:w="2960"/>
      </w:tblGrid>
      <w:tr>
        <w:trPr>
          <w:tblHeader/>
        </w:trPr>
        <w:tc>
          <w:tcPr>
            <w:tcW w:type="dxa" w:w="2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Lane</w:t>
            </w:r>
          </w:p>
        </w:tc>
        <w:tc>
          <w:tcPr>
            <w:tcW w:type="dxa" w:w="7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Count</w:t>
            </w:r>
          </w:p>
        </w:tc>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Meaning</w:t>
            </w:r>
          </w:p>
        </w:tc>
        <w:tc>
          <w:tcPr>
            <w:tcW w:type="dxa" w:w="2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First action</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Signoff → normalize</w:t>
            </w:r>
          </w:p>
        </w:tc>
        <w:tc>
          <w:tcPr>
            <w:tcW w:type="dxa" w:w="7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96</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Ready to enter institutional clinician signoff and normalisation</w:t>
            </w:r>
          </w:p>
        </w:tc>
        <w:tc>
          <w:tcPr>
            <w:tcW w:type="dxa" w:w="2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Schedule clinical owner and begin narrative decomposition</w:t>
            </w:r>
          </w:p>
        </w:tc>
      </w:tr>
      <w:tr>
        <w:tc>
          <w:tcPr>
            <w:tcW w:type="dxa" w:w="2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Specialist review → normalize</w:t>
            </w:r>
          </w:p>
        </w:tc>
        <w:tc>
          <w:tcPr>
            <w:tcW w:type="dxa" w:w="7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148</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Needs specialist review with documented limitations before normalisation</w:t>
            </w:r>
          </w:p>
        </w:tc>
        <w:tc>
          <w:tcPr>
            <w:tcW w:type="dxa" w:w="2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Resolve the documented limitation before any modelling effort</w:t>
            </w:r>
          </w:p>
        </w:tc>
      </w:tr>
      <w:tr>
        <w:tc>
          <w:tcPr>
            <w:tcW w:type="dxa" w:w="2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Redesign / non-protocol</w:t>
            </w:r>
          </w:p>
        </w:tc>
        <w:tc>
          <w:tcPr>
            <w:tcW w:type="dxa" w:w="7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Needs redesign or explicit non-protocol classification</w:t>
            </w:r>
          </w:p>
        </w:tc>
        <w:tc>
          <w:tcPr>
            <w:tcW w:type="dxa" w:w="2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Decide registry, measure-only, or non-protocol status</w:t>
            </w:r>
          </w:p>
        </w:tc>
      </w:tr>
    </w:tbl>
    <w:p>
      <w:pPr>
        <w:spacing w:after="200" w:before="60"/>
      </w:pPr>
      <w:r>
        <w:rPr>
          <w:rFonts w:ascii="Arial" w:cs="Arial" w:eastAsia="Arial" w:hAnsi="Arial"/>
          <w:i/>
          <w:iCs/>
          <w:color w:val="666666"/>
          <w:sz w:val="15"/>
          <w:szCs w:val="15"/>
        </w:rPr>
        <w:t xml:space="preserve">Table 18.1 — Readiness lanes.</w:t>
      </w:r>
    </w:p>
    <w:p>
      <w:pPr>
        <w:keepNext/>
        <w:spacing w:after="100" w:before="240"/>
      </w:pPr>
      <w:r>
        <w:rPr>
          <w:rFonts w:ascii="Arial" w:cs="Arial" w:eastAsia="Arial" w:hAnsi="Arial"/>
          <w:b/>
          <w:bCs/>
          <w:color w:val="0E0E11"/>
          <w:sz w:val="26"/>
          <w:szCs w:val="26"/>
        </w:rPr>
        <w:t xml:space="preserve">The six redesign / non-protocol candidates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700"/>
        <w:gridCol w:w="3800"/>
        <w:gridCol w:w="4860"/>
      </w:tblGrid>
      <w:tr>
        <w:trPr>
          <w:tblHeader/>
        </w:trPr>
        <w:tc>
          <w:tcPr>
            <w:tcW w:type="dxa" w:w="7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Rank</w:t>
            </w:r>
          </w:p>
        </w:tc>
        <w:tc>
          <w:tcPr>
            <w:tcW w:type="dxa" w:w="38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Pathway</w:t>
            </w:r>
          </w:p>
        </w:tc>
        <w:tc>
          <w:tcPr>
            <w:tcW w:type="dxa" w:w="48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Why it resists a condition-specific protocol shape</w:t>
            </w:r>
          </w:p>
        </w:tc>
      </w:tr>
      <w:tr>
        <w:tc>
          <w:tcPr>
            <w:tcW w:type="dxa" w:w="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92</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Aftercare / Convalescence / Health Status Factors</w:t>
            </w:r>
          </w:p>
        </w:tc>
        <w:tc>
          <w:tcPr>
            <w:tcW w:type="dxa" w:w="4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Administrative grouping; no common clinical trajectory</w:t>
            </w:r>
          </w:p>
        </w:tc>
      </w:tr>
      <w:tr>
        <w:tc>
          <w:tcPr>
            <w:tcW w:type="dxa" w:w="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140</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Extensive O.R. Procedures Unrelated to Principal Diagnosis — With MCC</w:t>
            </w:r>
          </w:p>
        </w:tc>
        <w:tc>
          <w:tcPr>
            <w:tcW w:type="dxa" w:w="4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Defined by unrelatedness; the procedure set is unbounded</w:t>
            </w:r>
          </w:p>
        </w:tc>
      </w:tr>
      <w:tr>
        <w:tc>
          <w:tcPr>
            <w:tcW w:type="dxa" w:w="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162</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Non-extensive O.R. Procedures Unrelated to Principal Diagnosis</w:t>
            </w:r>
          </w:p>
        </w:tc>
        <w:tc>
          <w:tcPr>
            <w:tcW w:type="dxa" w:w="4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Same structural problem at lower acuity</w:t>
            </w:r>
          </w:p>
        </w:tc>
      </w:tr>
      <w:tr>
        <w:tc>
          <w:tcPr>
            <w:tcW w:type="dxa" w:w="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166</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Extensive O.R. Procedures Unrelated to Principal Diagnosis — Without MCC</w:t>
            </w:r>
          </w:p>
        </w:tc>
        <w:tc>
          <w:tcPr>
            <w:tcW w:type="dxa" w:w="4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Same structural problem without MCC</w:t>
            </w:r>
          </w:p>
        </w:tc>
      </w:tr>
      <w:tr>
        <w:tc>
          <w:tcPr>
            <w:tcW w:type="dxa" w:w="7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169</w:t>
            </w:r>
          </w:p>
        </w:tc>
        <w:tc>
          <w:tcPr>
            <w:tcW w:type="dxa" w:w="38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Aftercare, Musculoskeletal System and Connective Tissue</w:t>
            </w:r>
          </w:p>
        </w:tc>
        <w:tc>
          <w:tcPr>
            <w:tcW w:type="dxa" w:w="48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Aftercare grouping; expectation depends on the index event, not this DRG</w:t>
            </w:r>
          </w:p>
        </w:tc>
      </w:tr>
      <w:tr>
        <w:tc>
          <w:tcPr>
            <w:tcW w:type="dxa" w:w="7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221</w:t>
            </w:r>
          </w:p>
        </w:tc>
        <w:tc>
          <w:tcPr>
            <w:tcW w:type="dxa" w:w="38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O.R. Procedures with Diagnoses of Other Contact with Health Services</w:t>
            </w:r>
          </w:p>
        </w:tc>
        <w:tc>
          <w:tcPr>
            <w:tcW w:type="dxa" w:w="48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Contact-reason grouping; heterogeneous by construction</w:t>
            </w:r>
          </w:p>
        </w:tc>
      </w:tr>
    </w:tbl>
    <w:p>
      <w:pPr>
        <w:spacing w:after="200" w:before="60"/>
      </w:pPr>
      <w:r>
        <w:rPr>
          <w:rFonts w:ascii="Arial" w:cs="Arial" w:eastAsia="Arial" w:hAnsi="Arial"/>
          <w:i/>
          <w:iCs/>
          <w:color w:val="666666"/>
          <w:sz w:val="15"/>
          <w:szCs w:val="15"/>
        </w:rPr>
        <w:t xml:space="preserve">Table 18.2 — These administrative and heterogeneous families should not be forced into a condition-specific protocol shape. Appropriate outcomes include a registry, a measure-only definition, or explicit non-protocol classification.</w:t>
      </w:r>
    </w:p>
    <w:p>
      <w:pPr>
        <w:keepNext/>
        <w:spacing w:after="120" w:before="320"/>
      </w:pPr>
      <w:r>
        <w:rPr>
          <w:rFonts w:ascii="Arial" w:cs="Arial" w:eastAsia="Arial" w:hAnsi="Arial"/>
          <w:b/>
          <w:bCs/>
          <w:color w:val="9B1B30"/>
          <w:sz w:val="32"/>
          <w:szCs w:val="32"/>
        </w:rPr>
        <w:t xml:space="preserve">18.2 Technical workload profile</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lexical inventory of the 250 rows found:</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600"/>
        <w:gridCol w:w="2900"/>
        <w:gridCol w:w="2860"/>
      </w:tblGrid>
      <w:tr>
        <w:trPr>
          <w:tblHeader/>
        </w:trPr>
        <w:tc>
          <w:tcPr>
            <w:tcW w:type="dxa" w:w="36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Dimension</w:t>
            </w:r>
          </w:p>
        </w:tc>
        <w:tc>
          <w:tcPr>
            <w:tcW w:type="dxa" w:w="29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Total</w:t>
            </w:r>
          </w:p>
        </w:tc>
        <w:tc>
          <w:tcPr>
            <w:tcW w:type="dxa" w:w="286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Median per pathway</w:t>
            </w:r>
          </w:p>
        </w:tc>
      </w:tr>
      <w:tr>
        <w:tc>
          <w:tcPr>
            <w:tcW w:type="dxa" w:w="3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Candidate clauses</w:t>
            </w:r>
          </w:p>
        </w:tc>
        <w:tc>
          <w:tcPr>
            <w:tcW w:type="dxa" w:w="2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28,164</w:t>
            </w:r>
          </w:p>
        </w:tc>
        <w:tc>
          <w:tcPr>
            <w:tcW w:type="dxa" w:w="28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125</w:t>
            </w:r>
          </w:p>
        </w:tc>
      </w:tr>
      <w:tr>
        <w:tc>
          <w:tcPr>
            <w:tcW w:type="dxa" w:w="3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Timing terms</w:t>
            </w:r>
          </w:p>
        </w:tc>
        <w:tc>
          <w:tcPr>
            <w:tcW w:type="dxa" w:w="2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11,663</w:t>
            </w:r>
          </w:p>
        </w:tc>
        <w:tc>
          <w:tcPr>
            <w:tcW w:type="dxa" w:w="28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43</w:t>
            </w:r>
          </w:p>
        </w:tc>
      </w:tr>
      <w:tr>
        <w:tc>
          <w:tcPr>
            <w:tcW w:type="dxa" w:w="3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Conditional terms</w:t>
            </w:r>
          </w:p>
        </w:tc>
        <w:tc>
          <w:tcPr>
            <w:tcW w:type="dxa" w:w="2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4,238</w:t>
            </w:r>
          </w:p>
        </w:tc>
        <w:tc>
          <w:tcPr>
            <w:tcW w:type="dxa" w:w="28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15</w:t>
            </w:r>
          </w:p>
        </w:tc>
      </w:tr>
      <w:tr>
        <w:tc>
          <w:tcPr>
            <w:tcW w:type="dxa" w:w="3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LOINC candidate records</w:t>
            </w:r>
          </w:p>
        </w:tc>
        <w:tc>
          <w:tcPr>
            <w:tcW w:type="dxa" w:w="2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7,285</w:t>
            </w:r>
          </w:p>
        </w:tc>
        <w:tc>
          <w:tcPr>
            <w:tcW w:type="dxa" w:w="28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w:t>
            </w:r>
          </w:p>
        </w:tc>
      </w:tr>
      <w:tr>
        <w:tc>
          <w:tcPr>
            <w:tcW w:type="dxa" w:w="3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CPT candidate records</w:t>
            </w:r>
          </w:p>
        </w:tc>
        <w:tc>
          <w:tcPr>
            <w:tcW w:type="dxa" w:w="2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315</w:t>
            </w:r>
          </w:p>
        </w:tc>
        <w:tc>
          <w:tcPr>
            <w:tcW w:type="dxa" w:w="28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w:t>
            </w:r>
          </w:p>
        </w:tc>
      </w:tr>
      <w:tr>
        <w:tc>
          <w:tcPr>
            <w:tcW w:type="dxa" w:w="3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SNOMED CT candidate records</w:t>
            </w:r>
          </w:p>
        </w:tc>
        <w:tc>
          <w:tcPr>
            <w:tcW w:type="dxa" w:w="29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648</w:t>
            </w:r>
          </w:p>
        </w:tc>
        <w:tc>
          <w:tcPr>
            <w:tcW w:type="dxa" w:w="286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w:t>
            </w:r>
          </w:p>
        </w:tc>
      </w:tr>
      <w:tr>
        <w:tc>
          <w:tcPr>
            <w:tcW w:type="dxa" w:w="3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ICD-10-CM candidate records</w:t>
            </w:r>
          </w:p>
        </w:tc>
        <w:tc>
          <w:tcPr>
            <w:tcW w:type="dxa" w:w="29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2,340</w:t>
            </w:r>
          </w:p>
        </w:tc>
        <w:tc>
          <w:tcPr>
            <w:tcW w:type="dxa" w:w="286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w:t>
            </w:r>
          </w:p>
        </w:tc>
      </w:tr>
    </w:tbl>
    <w:p>
      <w:pPr>
        <w:spacing w:after="200" w:before="60"/>
      </w:pPr>
      <w:r>
        <w:rPr>
          <w:rFonts w:ascii="Arial" w:cs="Arial" w:eastAsia="Arial" w:hAnsi="Arial"/>
          <w:i/>
          <w:iCs/>
          <w:color w:val="666666"/>
          <w:sz w:val="15"/>
          <w:szCs w:val="15"/>
        </w:rPr>
        <w:t xml:space="preserve">Table 18.3 — Workload inventory. Complexity distribution: 122 pathways very_high, 107 high, 21 moderate. This is a technical-workload heuristic only — not clinical severity, quality, risk, or activation readiness.</w:t>
      </w:r>
    </w:p>
    <w:p>
      <w:pPr>
        <w:keepNext/>
        <w:spacing w:after="100" w:before="240"/>
      </w:pPr>
      <w:r>
        <w:rPr>
          <w:rFonts w:ascii="Arial" w:cs="Arial" w:eastAsia="Arial" w:hAnsi="Arial"/>
          <w:b/>
          <w:bCs/>
          <w:color w:val="0E0E11"/>
          <w:sz w:val="26"/>
          <w:szCs w:val="26"/>
        </w:rPr>
        <w:t xml:space="preserve">Composition of the catalog</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400"/>
        <w:gridCol w:w="2280"/>
        <w:gridCol w:w="2400"/>
        <w:gridCol w:w="2280"/>
      </w:tblGrid>
      <w:tr>
        <w:trPr>
          <w:tblHeader/>
        </w:trPr>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Care type</w:t>
            </w:r>
          </w:p>
        </w:tc>
        <w:tc>
          <w:tcPr>
            <w:tcW w:type="dxa" w:w="22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Count</w:t>
            </w:r>
          </w:p>
        </w:tc>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Source specificity</w:t>
            </w:r>
          </w:p>
        </w:tc>
        <w:tc>
          <w:tcPr>
            <w:tcW w:type="dxa" w:w="22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Count</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Medical</w:t>
            </w:r>
          </w:p>
        </w:tc>
        <w:tc>
          <w:tcPr>
            <w:tcW w:type="dxa" w:w="22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127</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Medium</w:t>
            </w:r>
          </w:p>
        </w:tc>
        <w:tc>
          <w:tcPr>
            <w:tcW w:type="dxa" w:w="22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156</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Surgical</w:t>
            </w:r>
          </w:p>
        </w:tc>
        <w:tc>
          <w:tcPr>
            <w:tcW w:type="dxa" w:w="22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115</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High</w:t>
            </w:r>
          </w:p>
        </w:tc>
        <w:tc>
          <w:tcPr>
            <w:tcW w:type="dxa" w:w="22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55</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Obstetric</w:t>
            </w:r>
          </w:p>
        </w:tc>
        <w:tc>
          <w:tcPr>
            <w:tcW w:type="dxa" w:w="22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 / heterogeneous</w:t>
            </w:r>
          </w:p>
        </w:tc>
        <w:tc>
          <w:tcPr>
            <w:tcW w:type="dxa" w:w="22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33</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Neonatal</w:t>
            </w:r>
          </w:p>
        </w:tc>
        <w:tc>
          <w:tcPr>
            <w:tcW w:type="dxa" w:w="22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w:t>
            </w:r>
          </w:p>
        </w:tc>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 / weak-title</w:t>
            </w:r>
          </w:p>
        </w:tc>
        <w:tc>
          <w:tcPr>
            <w:tcW w:type="dxa" w:w="22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r>
    </w:tbl>
    <w:p>
      <w:pPr>
        <w:spacing w:after="200" w:before="60"/>
      </w:pPr>
      <w:r>
        <w:rPr>
          <w:rFonts w:ascii="Arial" w:cs="Arial" w:eastAsia="Arial" w:hAnsi="Arial"/>
          <w:i/>
          <w:iCs/>
          <w:color w:val="666666"/>
          <w:sz w:val="15"/>
          <w:szCs w:val="15"/>
        </w:rPr>
        <w:t xml:space="preserve">Table 18.4 — Catalog composition. The 39 low-specificity pathways carry elevated risk of definition drift and should not lead the pilot programme.</w:t>
      </w:r>
    </w:p>
    <w:p>
      <w:pPr>
        <w:keepNext/>
        <w:spacing w:after="120" w:before="320"/>
      </w:pPr>
      <w:r>
        <w:rPr>
          <w:rFonts w:ascii="Arial" w:cs="Arial" w:eastAsia="Arial" w:hAnsi="Arial"/>
          <w:b/>
          <w:bCs/>
          <w:color w:val="9B1B30"/>
          <w:sz w:val="32"/>
          <w:szCs w:val="32"/>
        </w:rPr>
        <w:t xml:space="preserve">18.3 The pathway factory workflow</w:t>
      </w:r>
    </w:p>
    <w:p>
      <w:pPr>
        <w:keepNext w:val="false"/>
        <w:spacing w:after="120" w:before="0" w:line="276"/>
        <w:jc w:val="left"/>
      </w:pPr>
      <w:r>
        <w:rPr>
          <w:rFonts w:ascii="Arial" w:cs="Arial" w:eastAsia="Arial" w:hAnsi="Arial"/>
          <w:b w:val="false"/>
          <w:bCs w:val="false"/>
          <w:i w:val="false"/>
          <w:iCs w:val="false"/>
          <w:color w:val="0E0E11"/>
          <w:sz w:val="22"/>
          <w:szCs w:val="22"/>
        </w:rPr>
        <w:t xml:space="preserve">Seventeen steps per pathway. Steps 1–9 are construction; 10–15 are proof; 16–17 are release and stewardship.</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400"/>
        <w:gridCol w:w="2200"/>
        <w:gridCol w:w="2200"/>
        <w:gridCol w:w="4560"/>
      </w:tblGrid>
      <w:tr>
        <w:trPr>
          <w:tblHeader/>
        </w:trPr>
        <w:tc>
          <w:tcPr>
            <w:tcW w:type="dxa" w:w="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t>
            </w:r>
          </w:p>
        </w:tc>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Step</w:t>
            </w:r>
          </w:p>
        </w:tc>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Primary owner</w:t>
            </w:r>
          </w:p>
        </w:tc>
        <w:tc>
          <w:tcPr>
            <w:tcW w:type="dxa" w:w="45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Output</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Intake</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Data governance</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Frozen source row, claims, citations, crosswalk, release identity</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2</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Scope</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Operational owner</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Institution, population, care setting, named owners</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3</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Evidence review</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Clinical owner</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Confirmation of current primary guidance and local policy</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4</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Narrative decomposition</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Knowledge engineering</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Atomic candidate rules with clause-level lineage</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5</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Clinical modeling</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Clinical owner + KE</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Stages, branches, timing, alternatives, exceptions</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6</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Terminology review</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Terminology specialist</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Approved semantic value sets and local maps</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7</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Observation design</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Clinical informatics</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Source fields, timestamp roles, objects, correction behaviour</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8</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Resource design</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Operations</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Queue and resource states where analysis is intended</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9</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Measure design</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Quality</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Process, outcome, balancing, safety, coverage measures</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10</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Static validation</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Platform</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Graph, schema, provenance, and binding checks pass</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11</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Synthetic testing</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Platform</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Branch, exception, timing, source-failure fixtures pass</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12</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Clinical approval</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Governance body</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Definition and measures approved separately</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13</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Gold-set validation</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Quality + clinical</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Structured chart-review comparison</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14</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Shadow mode</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Platform + quality</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Retrospective run with no care consequence</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15</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Operational review</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Human factors</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Usability, bias, workload, false-signal assessment</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16</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Activation</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Governance body</w:t>
            </w:r>
          </w:p>
        </w:tc>
        <w:tc>
          <w:tcPr>
            <w:tcW w:type="dxa" w:w="45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Only the approved audience projection is released</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17</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Monitoring</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Platform + clinical</w:t>
            </w:r>
          </w:p>
        </w:tc>
        <w:tc>
          <w:tcPr>
            <w:tcW w:type="dxa" w:w="45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Data drift, code changes, definition aging, performance</w:t>
            </w:r>
          </w:p>
        </w:tc>
      </w:tr>
    </w:tbl>
    <w:p>
      <w:pPr>
        <w:spacing w:after="200" w:before="60"/>
      </w:pPr>
      <w:r>
        <w:rPr>
          <w:rFonts w:ascii="Arial" w:cs="Arial" w:eastAsia="Arial" w:hAnsi="Arial"/>
          <w:i/>
          <w:iCs/>
          <w:color w:val="666666"/>
          <w:sz w:val="15"/>
          <w:szCs w:val="15"/>
        </w:rPr>
        <w:t xml:space="preserve">Table 18.5 — The pathway factory. Steps 10 and 11 are automated; every other step requires a named human.</w:t>
      </w:r>
    </w:p>
    <w:p>
      <w:pPr>
        <w:keepNext/>
        <w:spacing w:after="120" w:before="320"/>
      </w:pPr>
      <w:r>
        <w:rPr>
          <w:rFonts w:ascii="Arial" w:cs="Arial" w:eastAsia="Arial" w:hAnsi="Arial"/>
          <w:b/>
          <w:bCs/>
          <w:color w:val="9B1B30"/>
          <w:sz w:val="32"/>
          <w:szCs w:val="32"/>
        </w:rPr>
        <w:t xml:space="preserve">18.4 Minimum pathway team</w:t>
      </w:r>
    </w:p>
    <w:p>
      <w:pPr>
        <w:keepNext w:val="false"/>
        <w:spacing w:after="120" w:before="0" w:line="276"/>
        <w:jc w:val="left"/>
      </w:pPr>
      <w:r>
        <w:rPr>
          <w:rFonts w:ascii="Arial" w:cs="Arial" w:eastAsia="Arial" w:hAnsi="Arial"/>
          <w:b w:val="false"/>
          <w:bCs w:val="false"/>
          <w:i w:val="false"/>
          <w:iCs w:val="false"/>
          <w:color w:val="0E0E11"/>
          <w:sz w:val="22"/>
          <w:szCs w:val="22"/>
        </w:rPr>
        <w:t xml:space="preserve">Each pathway needs named participation from a specialty clinician owner; a nursing representative; a pharmacy representative where medication rules exist; laboratory, radiology, or procedure representatives as applicable; health information management and coding; clinical informatics; a terminology specialist; a process and operations owner; a data engineer; a process-mining and measurement analyst; quality and patient safety; privacy and security; a patient or family representative where appropriate; and a product and human-factors owner.</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B5791F" w:sz="24"/>
              <w:bottom w:val="none" w:color="FFFFFF" w:sz="0"/>
              <w:right w:val="none" w:color="FFFFFF" w:sz="0"/>
            </w:tcBorders>
            <w:shd w:fill="FDF6EA"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Team capacity is the binding constraint, not engineering capacity</w:t>
            </w:r>
          </w:p>
          <w:p>
            <w:pPr>
              <w:spacing w:after="60" w:line="264"/>
            </w:pPr>
            <w:r>
              <w:rPr>
                <w:rFonts w:ascii="Arial" w:cs="Arial" w:eastAsia="Arial" w:hAnsi="Arial"/>
                <w:color w:val="0E0E11"/>
                <w:sz w:val="20"/>
                <w:szCs w:val="20"/>
              </w:rPr>
              <w:t xml:space="preserve">The platform work in §19 is finite and largely one-time. The per-pathway work in §18.3 is repeated 250 times and requires clinical time that competes directly with clinical care.</w:t>
            </w:r>
          </w:p>
          <w:p>
            <w:pPr>
              <w:spacing w:after="60" w:line="264"/>
            </w:pPr>
            <w:r>
              <w:rPr>
                <w:rFonts w:ascii="Arial" w:cs="Arial" w:eastAsia="Arial" w:hAnsi="Arial"/>
                <w:color w:val="0E0E11"/>
                <w:sz w:val="20"/>
                <w:szCs w:val="20"/>
              </w:rPr>
              <w:t xml:space="preserve">Any plan that does not name the clinical owners before Phase 3 will stall at Phase 3.</w:t>
            </w:r>
          </w:p>
        </w:tc>
      </w:tr>
    </w:tbl>
    <w:p>
      <w:pPr>
        <w:spacing w:after="160"/>
      </w:pPr>
    </w:p>
    <w:p>
      <w:pPr>
        <w:keepNext/>
        <w:spacing w:after="160" w:before="400"/>
      </w:pPr>
      <w:r>
        <w:rPr>
          <w:rFonts w:ascii="Arial" w:cs="Arial" w:eastAsia="Arial" w:hAnsi="Arial"/>
          <w:b/>
          <w:bCs/>
          <w:color w:val="9B1B30"/>
          <w:sz w:val="38"/>
          <w:szCs w:val="38"/>
        </w:rPr>
        <w:t xml:space="preserve">19. Implementation roadmap</w:t>
      </w:r>
    </w:p>
    <w:p>
      <w:pPr>
        <w:keepNext/>
        <w:spacing w:after="120" w:before="320"/>
      </w:pPr>
      <w:r>
        <w:rPr>
          <w:rFonts w:ascii="Arial" w:cs="Arial" w:eastAsia="Arial" w:hAnsi="Arial"/>
          <w:b/>
          <w:bCs/>
          <w:color w:val="9B1B30"/>
          <w:sz w:val="32"/>
          <w:szCs w:val="32"/>
        </w:rPr>
        <w:t xml:space="preserve">Phase 0 — Accept the expanded source release</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Separate release manifest for the expanded files.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Hashes and semantic-core reconciliation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Immutable raw import.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Terminology candidate tables.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Candidate-versus-approved structural separation.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Release controls and disposition record.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Documentation that no clinical activation occurred.</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Reproducible import.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All 250 rows reconciled.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All 10,588 crosswalk rows traceable.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Zero silent overwrites of the earlier release.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Governance owner accepts the derivative identity.</w:t>
      </w:r>
    </w:p>
    <w:p>
      <w:pPr>
        <w:keepNext/>
        <w:spacing w:after="120" w:before="320"/>
      </w:pPr>
      <w:r>
        <w:rPr>
          <w:rFonts w:ascii="Arial" w:cs="Arial" w:eastAsia="Arial" w:hAnsi="Arial"/>
          <w:b/>
          <w:bCs/>
          <w:color w:val="9B1B30"/>
          <w:sz w:val="32"/>
          <w:szCs w:val="32"/>
        </w:rPr>
        <w:t xml:space="preserve">Phase 1 — Harden identity and OCEL projection</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Source, record, and version lineage on every projected event.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Complete timestamp roles.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Qualified object links.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Bounded full-content digests.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Correction and retraction reconciliation.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Object attribute-history protection.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Source coverage and freshness service.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Orphan-event quarantine.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Replay and idempotency tests.</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Correction and late-arrival fixtures pass.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Source-window reconciliation is exact.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Patient, encounter, and work-object coverage is measurable.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Barrier lifecycle includes resolution and cancellation.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No pathway status depends on a source family with unknown coverage.</w:t>
      </w:r>
    </w:p>
    <w:p>
      <w:pPr>
        <w:keepNext/>
        <w:spacing w:after="120" w:before="320"/>
      </w:pPr>
      <w:r>
        <w:rPr>
          <w:rFonts w:ascii="Arial" w:cs="Arial" w:eastAsia="Arial" w:hAnsi="Arial"/>
          <w:b/>
          <w:bCs/>
          <w:color w:val="9B1B30"/>
          <w:sz w:val="32"/>
          <w:szCs w:val="32"/>
        </w:rPr>
        <w:t xml:space="preserve">Phase 2 — Build the pathway modeling workbench</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Typed definition schema.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Applicability editor.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Graph and branch editor.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Temporal-constraint editor.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Exception and resource editor.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Terminology candidate review queue.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Local binding editor.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Provenance view.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Measure editor.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Validation engine.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Version and digest workflow.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Approval gates.</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One pathway can be modelled end to end.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Every rule traces to evidence and a named reviewer.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Invalid graphs cannot be approved.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Candidate codes cannot be activated as approved bindings.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Synthetic fixtures are executable.</w:t>
      </w:r>
    </w:p>
    <w:p>
      <w:pPr>
        <w:keepNext/>
        <w:spacing w:after="120" w:before="320"/>
      </w:pPr>
      <w:r>
        <w:rPr>
          <w:rFonts w:ascii="Arial" w:cs="Arial" w:eastAsia="Arial" w:hAnsi="Arial"/>
          <w:b/>
          <w:bCs/>
          <w:color w:val="9B1B30"/>
          <w:sz w:val="32"/>
          <w:szCs w:val="32"/>
        </w:rPr>
        <w:t xml:space="preserve">Phase 3 — Pilot a deliberately diverse set</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Three to five pilots selected on observability and institutional priority — not DRG rank.</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One high-specificity medical pathway with reliable lab and medication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One surgical pathway with a complete procedure, case, and resource lifecycle.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One pathway with meaningful consult and queue measurement.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One obstetric or neonatal pathway to exercise dyad and linked-patient objects.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Optionally sepsis, for technical continuity — treating existing seeded events as demonstration data, not clinical validation.</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Definition and measure approval obtained.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Local binding completeness proven.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Gold-set performance targets met.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Object-centric evidence review is usable by clinicians.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False signals are understood and characterised.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No live alerting.</w:t>
      </w:r>
    </w:p>
    <w:p>
      <w:pPr>
        <w:keepNext/>
        <w:spacing w:after="120" w:before="320"/>
      </w:pPr>
      <w:r>
        <w:rPr>
          <w:rFonts w:ascii="Arial" w:cs="Arial" w:eastAsia="Arial" w:hAnsi="Arial"/>
          <w:b/>
          <w:bCs/>
          <w:color w:val="9B1B30"/>
          <w:sz w:val="32"/>
          <w:szCs w:val="32"/>
        </w:rPr>
        <w:t xml:space="preserve">Phase 4 — Measurement ledger and shadow operations</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Patient assignment and confirmation.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Version pinning.</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Deterministic evaluator.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Event-match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Step and constraint ledger.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Coverage and confidence.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Superseding runs.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Retrospective dashboards.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Reviewer workflow.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Aggregate measures with cohort suppression.</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Every summary drills to immutable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Replay is reproducible.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Late data creates a superseding run.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data_unavailable is never counted as missed care.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Clinical reviewers agree results are interpretable.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No punitive use is permitted.</w:t>
      </w:r>
    </w:p>
    <w:p>
      <w:pPr>
        <w:keepNext/>
        <w:spacing w:after="120" w:before="320"/>
      </w:pPr>
      <w:r>
        <w:rPr>
          <w:rFonts w:ascii="Arial" w:cs="Arial" w:eastAsia="Arial" w:hAnsi="Arial"/>
          <w:b/>
          <w:bCs/>
          <w:color w:val="9B1B30"/>
          <w:sz w:val="32"/>
          <w:szCs w:val="32"/>
        </w:rPr>
        <w:t xml:space="preserve">Phase 5 — Bottleneck, resource, and safety evidence</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Queue lifecycle events.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Resource and capacity objects.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Wait-segment decomposition.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Capacity-mismatch candidates.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Safety-screen workflow.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Common Formats-aligned evidence where applicable.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Contributing-factor graph.</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Corrective-action tracking.</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Offline object-centric alignment.</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Wait and processing time can be separated.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Resource insufficiency requires capacity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Safety screen is distinct from error adjudication.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Cause remains a reviewed hypothesis until supported.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Corrective actions have owners and effectiveness measures.</w:t>
      </w:r>
    </w:p>
    <w:p>
      <w:pPr>
        <w:keepNext/>
        <w:spacing w:after="120" w:before="320"/>
      </w:pPr>
      <w:r>
        <w:rPr>
          <w:rFonts w:ascii="Arial" w:cs="Arial" w:eastAsia="Arial" w:hAnsi="Arial"/>
          <w:b/>
          <w:bCs/>
          <w:color w:val="9B1B30"/>
          <w:sz w:val="32"/>
          <w:szCs w:val="32"/>
        </w:rPr>
        <w:t xml:space="preserve">Phase 6 — Scale by readiness</w:t>
      </w:r>
    </w:p>
    <w:p>
      <w:pPr>
        <w:keepNext/>
        <w:spacing w:after="80" w:before="180"/>
      </w:pPr>
      <w:r>
        <w:rPr>
          <w:rFonts w:ascii="Arial" w:cs="Arial" w:eastAsia="Arial" w:hAnsi="Arial"/>
          <w:b/>
          <w:bCs/>
          <w:color w:val="0E0E11"/>
          <w:sz w:val="22"/>
          <w:szCs w:val="22"/>
        </w:rPr>
        <w:t xml:space="preserve">Deliver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Approved pilots first.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Then the remaining pathways in the 96-pathway signoff lane.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Then pathways from the 148-pathway specialist-review lane, after limitations are resolved.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Finally, redesigned models, measures, registries, or non-protocol classifications for the six heterogeneous families.</w:t>
      </w:r>
    </w:p>
    <w:p>
      <w:pPr>
        <w:keepNext/>
        <w:spacing w:after="80" w:before="180"/>
      </w:pPr>
      <w:r>
        <w:rPr>
          <w:rFonts w:ascii="Arial" w:cs="Arial" w:eastAsia="Arial" w:hAnsi="Arial"/>
          <w:b/>
          <w:bCs/>
          <w:color w:val="0E0E11"/>
          <w:sz w:val="22"/>
          <w:szCs w:val="22"/>
        </w:rPr>
        <w:t xml:space="preserve">Exit criteria</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Each lane transition is a governance decision with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Scaling never outruns clinical-owner capacity.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Coverage and gold-set performance are re-proven per service line, not assumed to transfer.</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9B1B30" w:sz="24"/>
              <w:bottom w:val="none" w:color="FFFFFF" w:sz="0"/>
              <w:right w:val="none" w:color="FFFFFF" w:sz="0"/>
            </w:tcBorders>
            <w:shd w:fill="FBEFF1"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What "99% DRG coverage" does not mean</w:t>
            </w:r>
          </w:p>
          <w:p>
            <w:pPr>
              <w:spacing w:after="60" w:line="264"/>
            </w:pPr>
            <w:r>
              <w:rPr>
                <w:rFonts w:ascii="Arial" w:cs="Arial" w:eastAsia="Arial" w:hAnsi="Arial"/>
                <w:color w:val="0E0E11"/>
                <w:sz w:val="20"/>
                <w:szCs w:val="20"/>
              </w:rPr>
              <w:t xml:space="preserve">It does not mean 99% clinical-event coverage, 99% patient applicability, 99% clinically approved pathways, 99% terminology completeness, 99% source observability, or 99% measurement validity.</w:t>
            </w:r>
          </w:p>
          <w:p>
            <w:pPr>
              <w:spacing w:after="60" w:line="264"/>
            </w:pPr>
            <w:r>
              <w:rPr>
                <w:rFonts w:ascii="Arial" w:cs="Arial" w:eastAsia="Arial" w:hAnsi="Arial"/>
                <w:color w:val="0E0E11"/>
                <w:sz w:val="20"/>
                <w:szCs w:val="20"/>
              </w:rPr>
              <w:t xml:space="preserve">The coverage figure describes the DRG catalog. It says nothing about whether a single pathway can be measured for a single patient.</w:t>
            </w:r>
          </w:p>
        </w:tc>
      </w:tr>
    </w:tbl>
    <w:p>
      <w:pPr>
        <w:spacing w:after="200"/>
      </w:pPr>
    </w:p>
    <w:p>
      <w:pPr>
        <w:keepNext/>
        <w:spacing w:after="160" w:before="400"/>
      </w:pPr>
      <w:r>
        <w:rPr>
          <w:rFonts w:ascii="Arial" w:cs="Arial" w:eastAsia="Arial" w:hAnsi="Arial"/>
          <w:b/>
          <w:bCs/>
          <w:color w:val="9B1B30"/>
          <w:sz w:val="38"/>
          <w:szCs w:val="38"/>
        </w:rPr>
        <w:t xml:space="preserve">20. Decisions required before implementation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Twenty decisions belong to institutional owners, not to the engineering team. Each one has a default that the system will otherwise adopt silently — and every silent default is wrong.</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400"/>
        <w:gridCol w:w="6360"/>
        <w:gridCol w:w="2600"/>
      </w:tblGrid>
      <w:tr>
        <w:trPr>
          <w:tblHeader/>
        </w:trPr>
        <w:tc>
          <w:tcPr>
            <w:tcW w:type="dxa" w:w="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w:t>
            </w:r>
          </w:p>
        </w:tc>
        <w:tc>
          <w:tcPr>
            <w:tcW w:type="dxa" w:w="63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Decision</w:t>
            </w:r>
          </w:p>
        </w:tc>
        <w:tc>
          <w:tcPr>
            <w:tcW w:type="dxa" w:w="26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Owner</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Who owns clinical definition approval?</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governance</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Who approves terminology bindings, separately from clinical content?</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HIM / terminology</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3</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qualifies a patient for each pathway, and when is confirmation required?</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owner</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4</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How are concurrent pathways prioritised or combined?</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governance</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5</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clock semantics apply to each class of timing rule?</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 operations</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6</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Which exceptions remove an obligation from a denominator?</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7</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local sources prove each expected observation?</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informatics</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8</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data-coverage threshold permits a "missing" conclusion?</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 + data engineering</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9</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gold-set performance is required for staff-facing use?</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10</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Which measures are descriptive, operational, quality-improvement, or safety measures?</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11</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evidence is required before calling a delay undue?</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 operations</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12</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evidence is required before suggesting resource insufficiency?</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Operations</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13</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Who may adjudicate a safety screen and label preventability?</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Patient safety</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14</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cohort sizes and stratifiers are allowed?</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 + privacy</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15</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Which outputs can reach Arena, Patient Flow 4D, Eddy, and Hummingbird?</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Product + governance</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16</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is the update policy for LOINC, SNOMED CT, ICD-10-CM, CPT, and local terminologies?</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Terminology</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17</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is the definition review and retirement cadence?</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 governance</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18</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are the performance and latency requirements?</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Platform + operations</w:t>
            </w:r>
          </w:p>
        </w:tc>
      </w:tr>
      <w:tr>
        <w:tc>
          <w:tcPr>
            <w:tcW w:type="dxa" w:w="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19</w:t>
            </w:r>
          </w:p>
        </w:tc>
        <w:tc>
          <w:tcPr>
            <w:tcW w:type="dxa" w:w="63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What is the rollback or disable process for a faulty definition or binding?</w:t>
            </w:r>
          </w:p>
        </w:tc>
        <w:tc>
          <w:tcPr>
            <w:tcW w:type="dxa" w:w="26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Platform + clinical</w:t>
            </w:r>
          </w:p>
        </w:tc>
      </w:tr>
      <w:tr>
        <w:tc>
          <w:tcPr>
            <w:tcW w:type="dxa" w:w="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20</w:t>
            </w:r>
          </w:p>
        </w:tc>
        <w:tc>
          <w:tcPr>
            <w:tcW w:type="dxa" w:w="63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How will corrective-action effectiveness be measured?</w:t>
            </w:r>
          </w:p>
        </w:tc>
        <w:tc>
          <w:tcPr>
            <w:tcW w:type="dxa" w:w="26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Quality</w:t>
            </w:r>
          </w:p>
        </w:tc>
      </w:tr>
    </w:tbl>
    <w:p>
      <w:pPr>
        <w:spacing w:after="200" w:before="60"/>
      </w:pPr>
      <w:r>
        <w:rPr>
          <w:rFonts w:ascii="Arial" w:cs="Arial" w:eastAsia="Arial" w:hAnsi="Arial"/>
          <w:i/>
          <w:iCs/>
          <w:color w:val="666666"/>
          <w:sz w:val="15"/>
          <w:szCs w:val="15"/>
        </w:rPr>
        <w:t xml:space="preserve">Table 20.1 — Decisions required before implementation.</w:t>
      </w:r>
    </w:p>
    <w:p>
      <w:pPr>
        <w:keepNext/>
        <w:spacing w:after="160" w:before="400"/>
      </w:pPr>
      <w:r>
        <w:rPr>
          <w:rFonts w:ascii="Arial" w:cs="Arial" w:eastAsia="Arial" w:hAnsi="Arial"/>
          <w:b/>
          <w:bCs/>
          <w:color w:val="9B1B30"/>
          <w:sz w:val="38"/>
          <w:szCs w:val="38"/>
        </w:rPr>
        <w:t xml:space="preserve">21. Definition of done for one pathway</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pathway is not ready because its row was imported. It is ready only when all of the following hold.</w:t>
      </w:r>
    </w:p>
    <w:p>
      <w:pPr>
        <w:keepNext/>
        <w:spacing w:after="100" w:before="240"/>
      </w:pPr>
      <w:r>
        <w:rPr>
          <w:rFonts w:ascii="Arial" w:cs="Arial" w:eastAsia="Arial" w:hAnsi="Arial"/>
          <w:b/>
          <w:bCs/>
          <w:color w:val="0E0E11"/>
          <w:sz w:val="26"/>
          <w:szCs w:val="26"/>
        </w:rPr>
        <w:t xml:space="preserve">Source and governance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Source release and row lineage are immutable.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Evidence claims are traceable.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Clinical and operational owners are named.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Scope and effective period are explicit.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The version is approved.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Audience projections are separately governed.</w:t>
      </w:r>
    </w:p>
    <w:p>
      <w:pPr>
        <w:keepNext/>
        <w:spacing w:after="100" w:before="240"/>
      </w:pPr>
      <w:r>
        <w:rPr>
          <w:rFonts w:ascii="Arial" w:cs="Arial" w:eastAsia="Arial" w:hAnsi="Arial"/>
          <w:b/>
          <w:bCs/>
          <w:color w:val="0E0E11"/>
          <w:sz w:val="26"/>
          <w:szCs w:val="26"/>
        </w:rPr>
        <w:t xml:space="preserve">Computable definition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Applicability and exclusions are executable.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Stages, steps, goals, and edges are typed.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All branches and repeats are explicit.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Temporal anchors and clocks are defined.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Exceptions and substitutions are approved.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Resource requirements exist wherever resource conclusions will be drawn.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Measures are complete.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Every rule has provenance.</w:t>
      </w:r>
    </w:p>
    <w:p>
      <w:pPr>
        <w:keepNext/>
        <w:spacing w:after="100" w:before="240"/>
      </w:pPr>
      <w:r>
        <w:rPr>
          <w:rFonts w:ascii="Arial" w:cs="Arial" w:eastAsia="Arial" w:hAnsi="Arial"/>
          <w:b/>
          <w:bCs/>
          <w:color w:val="0E0E11"/>
          <w:sz w:val="26"/>
          <w:szCs w:val="26"/>
        </w:rPr>
        <w:t xml:space="preserve">Terminology and observation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Candidate terminology has been reviewed.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Local codes are mapped.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System, version, and semantic role are explicit.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Source resource, field, status, and time role are defined.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Identity and object relationships are proven.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Corrections and retractions are supported.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Coverage and freshness thresholds are approved.</w:t>
      </w:r>
    </w:p>
    <w:p>
      <w:pPr>
        <w:keepNext/>
        <w:spacing w:after="100" w:before="240"/>
      </w:pPr>
      <w:r>
        <w:rPr>
          <w:rFonts w:ascii="Arial" w:cs="Arial" w:eastAsia="Arial" w:hAnsi="Arial"/>
          <w:b/>
          <w:bCs/>
          <w:color w:val="0E0E11"/>
          <w:sz w:val="26"/>
          <w:szCs w:val="26"/>
        </w:rPr>
        <w:t xml:space="preserve">Measurement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Patient assignment and confirmation are auditable.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The exact version is pinned.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Deterministic matching is reproducible.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All step states are represented.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Signed timing variance is persisted.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Exceptions remain visible.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Insufficient data is distinct from failure.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Superseding runs preserve history.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Summaries drill to event evidence.</w:t>
      </w:r>
    </w:p>
    <w:p>
      <w:pPr>
        <w:keepNext/>
        <w:spacing w:after="100" w:before="240"/>
      </w:pPr>
      <w:r>
        <w:rPr>
          <w:rFonts w:ascii="Arial" w:cs="Arial" w:eastAsia="Arial" w:hAnsi="Arial"/>
          <w:b/>
          <w:bCs/>
          <w:color w:val="0E0E11"/>
          <w:sz w:val="26"/>
          <w:szCs w:val="26"/>
        </w:rPr>
        <w:t xml:space="preserve">Validation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Static validation passes.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All required synthetic fixtures pass.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Chart-reviewed gold cases meet approved performance.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Inter-rater reliability is acceptable.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Shadow-mode source latency and false signals are understood.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Fairness and missingness analysis is complete.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Human-factors review is complete.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Activation is explicitly authorised.</w:t>
      </w:r>
    </w:p>
    <w:p>
      <w:pPr>
        <w:keepNext/>
        <w:spacing w:after="100" w:before="240"/>
      </w:pPr>
      <w:r>
        <w:rPr>
          <w:rFonts w:ascii="Arial" w:cs="Arial" w:eastAsia="Arial" w:hAnsi="Arial"/>
          <w:b/>
          <w:bCs/>
          <w:color w:val="0E0E11"/>
          <w:sz w:val="26"/>
          <w:szCs w:val="26"/>
        </w:rPr>
        <w:t xml:space="preserve">Analysis and safety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Bottlenecks use queue and process lifecycle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Resource conclusions use capacity evidence.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Deviation is not equated with error.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Safety screens enter governed review.</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Causal language is controlled.</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Corrective actions have owners and measures.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No individual punitive scoring is enabled.</w:t>
      </w:r>
    </w:p>
    <w:p>
      <w:pPr>
        <w:keepNext/>
        <w:spacing w:after="160" w:before="400"/>
      </w:pPr>
      <w:r>
        <w:rPr>
          <w:rFonts w:ascii="Arial" w:cs="Arial" w:eastAsia="Arial" w:hAnsi="Arial"/>
          <w:b/>
          <w:bCs/>
          <w:color w:val="9B1B30"/>
          <w:sz w:val="38"/>
          <w:szCs w:val="38"/>
        </w:rPr>
        <w:t xml:space="preserve">22. Programme risk register</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3200"/>
        <w:gridCol w:w="3960"/>
      </w:tblGrid>
      <w:tr>
        <w:trPr>
          <w:tblHeader/>
        </w:trPr>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Risk</w:t>
            </w:r>
          </w:p>
        </w:tc>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Mechanism</w:t>
            </w:r>
          </w:p>
        </w:tc>
        <w:tc>
          <w:tcPr>
            <w:tcW w:type="dxa" w:w="3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Mitigation in this specification</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Coverage-driven false deficiency</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Weak source feeds are reported as missed care</w:t>
            </w:r>
          </w:p>
        </w:tc>
        <w:tc>
          <w:tcPr>
            <w:tcW w:type="dxa" w:w="3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data_unavailable state; per-measure coverage; coverage-gated denominators (§10.6, §14.2)</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Retroactive rescoring</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 definition or binding change silently rewrites history</w:t>
            </w:r>
          </w:p>
        </w:tc>
        <w:tc>
          <w:tcPr>
            <w:tcW w:type="dxa" w:w="3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Version pinning and append-only supersession (§10.2, §11.5)</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Anchor drift</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Different units bind constraints to different timestamps</w:t>
            </w:r>
          </w:p>
        </w:tc>
        <w:tc>
          <w:tcPr>
            <w:tcW w:type="dxa" w:w="3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Named anchors, timestamp roles, and persisted anchor evidence (§7.5, §9.4)</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Terminology over-reach</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Candidate codes treated as approved bindings</w:t>
            </w:r>
          </w:p>
        </w:tc>
        <w:tc>
          <w:tcPr>
            <w:tcW w:type="dxa" w:w="3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Structural separation and the four-step promotion pipeline (§7.9)</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Template contamination</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One edit to shared narrative silently changes 120 pathways</w:t>
            </w:r>
          </w:p>
        </w:tc>
        <w:tc>
          <w:tcPr>
            <w:tcW w:type="dxa" w:w="3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Per-version adoption, overrides, review, and provenance (§8)</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Alarm fatigue</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Prospective alerting activated before retrospective validity is proven</w:t>
            </w:r>
          </w:p>
        </w:tc>
        <w:tc>
          <w:tcPr>
            <w:tcW w:type="dxa" w:w="3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Gate 10 is separate; retrospective is the required first mode (§10.8, §16.1)</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Punitive misuse</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Deviation counts used for clinician comparison</w:t>
            </w:r>
          </w:p>
        </w:tc>
        <w:tc>
          <w:tcPr>
            <w:tcW w:type="dxa" w:w="3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Prohibited controls; coverage-matched comparison only (§16.3, §16.5)</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Deviation-as-error conflation</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Screens reported as errors without adjudication</w:t>
            </w:r>
          </w:p>
        </w:tc>
        <w:tc>
          <w:tcPr>
            <w:tcW w:type="dxa" w:w="3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Safety screen distinct from adjudicated conclusion (§12.5)</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Alignment cost blowout</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Object-centric alignment placed in the online path</w:t>
            </w:r>
          </w:p>
        </w:tc>
        <w:tc>
          <w:tcPr>
            <w:tcW w:type="dxa" w:w="3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Deterministic evaluator first; alignment offline only (§13.1, §13.3)</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Clinical-capacity stall</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Engineering outruns clinical review capacity</w:t>
            </w:r>
          </w:p>
        </w:tc>
        <w:tc>
          <w:tcPr>
            <w:tcW w:type="dxa" w:w="3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Lane-based scaling; named owners before Phase 3 (§18.4, §19)</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Projection non-determinism</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Row-count signatures miss in-place updates</w:t>
            </w:r>
          </w:p>
        </w:tc>
        <w:tc>
          <w:tcPr>
            <w:tcW w:type="dxa" w:w="3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Bounded content digests; replay idempotency tests (§9.5)</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Heterogeneous-family forcing</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Administrative DRG groups modelled as protocols</w:t>
            </w:r>
          </w:p>
        </w:tc>
        <w:tc>
          <w:tcPr>
            <w:tcW w:type="dxa" w:w="3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4"/>
                <w:szCs w:val="14"/>
              </w:rPr>
              <w:t xml:space="preserve">Explicit redesign / non-protocol lane for six pathways (§18.1)</w:t>
            </w:r>
          </w:p>
        </w:tc>
      </w:tr>
    </w:tbl>
    <w:p>
      <w:pPr>
        <w:spacing w:after="200" w:before="60"/>
      </w:pPr>
      <w:r>
        <w:rPr>
          <w:rFonts w:ascii="Arial" w:cs="Arial" w:eastAsia="Arial" w:hAnsi="Arial"/>
          <w:i/>
          <w:iCs/>
          <w:color w:val="666666"/>
          <w:sz w:val="15"/>
          <w:szCs w:val="15"/>
        </w:rPr>
        <w:t xml:space="preserve">Table 22.1 — Risk register. Each mitigation is a structural property of the design, not a procedural commitment.</w:t>
      </w:r>
    </w:p>
    <w:p>
      <w:pPr>
        <w:keepNext/>
        <w:spacing w:after="160" w:before="400"/>
      </w:pPr>
      <w:r>
        <w:rPr>
          <w:rFonts w:ascii="Arial" w:cs="Arial" w:eastAsia="Arial" w:hAnsi="Arial"/>
          <w:b/>
          <w:bCs/>
          <w:color w:val="9B1B30"/>
          <w:sz w:val="38"/>
          <w:szCs w:val="38"/>
        </w:rPr>
        <w:t xml:space="preserve">23. Final recommendation</w:t>
      </w:r>
    </w:p>
    <w:p>
      <w:pPr>
        <w:keepNext w:val="false"/>
        <w:spacing w:after="120" w:before="0" w:line="276"/>
        <w:jc w:val="left"/>
      </w:pPr>
      <w:r>
        <w:rPr>
          <w:rFonts w:ascii="Arial" w:cs="Arial" w:eastAsia="Arial" w:hAnsi="Arial"/>
          <w:b w:val="false"/>
          <w:bCs w:val="false"/>
          <w:i w:val="false"/>
          <w:iCs w:val="false"/>
          <w:color w:val="0E0E11"/>
          <w:sz w:val="22"/>
          <w:szCs w:val="22"/>
        </w:rPr>
        <w:t xml:space="preserve">Proceed with a governed pathway-modeling and measurement program, not a bulk conversion exercise.</w:t>
      </w:r>
    </w:p>
    <w:p>
      <w:pPr>
        <w:keepNext w:val="false"/>
        <w:spacing w:after="120" w:before="0" w:line="276"/>
        <w:jc w:val="left"/>
      </w:pPr>
      <w:r>
        <w:rPr>
          <w:rFonts w:ascii="Arial" w:cs="Arial" w:eastAsia="Arial" w:hAnsi="Arial"/>
          <w:b w:val="false"/>
          <w:bCs w:val="false"/>
          <w:i w:val="false"/>
          <w:iCs w:val="false"/>
          <w:color w:val="0E0E11"/>
          <w:sz w:val="22"/>
          <w:szCs w:val="22"/>
        </w:rPr>
        <w:t xml:space="preserve">Accept the terminology-expanded package as a separately manifested, lossless derivative. Preserve its terminology as candidate evidence. Harden the observed OCEL and local source bindings first. Build a typed, versioned definition package for every pathway. Measure each confirmed patient instance with a reproducible step-and-constraint ledger. Keep source coverage, exceptions, corrections, and uncertainty visible. Use deterministic evaluation for the primary result, object-centric alignment for controlled retrospective explanation, and process discovery only to learn how care actually flows.</w:t>
      </w:r>
    </w:p>
    <w:p>
      <w:pPr>
        <w:spacing w:after="12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tcBorders>
              <w:top w:val="none" w:color="FFFFFF" w:sz="0"/>
              <w:left w:val="single" w:color="1E7F6B" w:sz="24"/>
              <w:bottom w:val="none" w:color="FFFFFF" w:sz="0"/>
              <w:right w:val="none" w:color="FFFFFF" w:sz="0"/>
            </w:tcBorders>
            <w:shd w:fill="EFF7F4" w:color="auto" w:val="clear"/>
            <w:tcMar>
              <w:top w:type="dxa" w:w="120"/>
              <w:left w:type="dxa" w:w="220"/>
              <w:bottom w:type="dxa" w:w="120"/>
              <w:right w:type="dxa" w:w="180"/>
            </w:tcMar>
          </w:tcPr>
          <w:p>
            <w:pPr>
              <w:spacing w:after="60" w:before="40"/>
            </w:pPr>
            <w:r>
              <w:rPr>
                <w:rFonts w:ascii="Arial" w:cs="Arial" w:eastAsia="Arial" w:hAnsi="Arial"/>
                <w:b/>
                <w:bCs/>
                <w:color w:val="0E0E11"/>
                <w:spacing w:val="20"/>
                <w:sz w:val="20"/>
                <w:szCs w:val="20"/>
              </w:rPr>
              <w:t xml:space="preserve">Keep the claims proportional to the evidence</w:t>
            </w:r>
          </w:p>
          <w:p>
            <w:pPr>
              <w:spacing w:after="60" w:line="264"/>
            </w:pPr>
            <w:r>
              <w:rPr>
                <w:rFonts w:ascii="Arial" w:cs="Arial" w:eastAsia="Arial" w:hAnsi="Arial"/>
                <w:color w:val="0E0E11"/>
                <w:sz w:val="20"/>
                <w:szCs w:val="20"/>
              </w:rPr>
              <w:t xml:space="preserve">A missing event is not necessarily missed care.</w:t>
            </w:r>
          </w:p>
          <w:p>
            <w:pPr>
              <w:spacing w:after="60" w:line="264"/>
            </w:pPr>
            <w:r>
              <w:rPr>
                <w:rFonts w:ascii="Arial" w:cs="Arial" w:eastAsia="Arial" w:hAnsi="Arial"/>
                <w:color w:val="0E0E11"/>
                <w:sz w:val="20"/>
                <w:szCs w:val="20"/>
              </w:rPr>
              <w:t xml:space="preserve">A late step is not necessarily an undue delay.</w:t>
            </w:r>
          </w:p>
          <w:p>
            <w:pPr>
              <w:spacing w:after="60" w:line="264"/>
            </w:pPr>
            <w:r>
              <w:rPr>
                <w:rFonts w:ascii="Arial" w:cs="Arial" w:eastAsia="Arial" w:hAnsi="Arial"/>
                <w:color w:val="0E0E11"/>
                <w:sz w:val="20"/>
                <w:szCs w:val="20"/>
              </w:rPr>
              <w:t xml:space="preserve">A long wait is not necessarily insufficient resources.</w:t>
            </w:r>
          </w:p>
          <w:p>
            <w:pPr>
              <w:spacing w:after="60" w:line="264"/>
            </w:pPr>
            <w:r>
              <w:rPr>
                <w:rFonts w:ascii="Arial" w:cs="Arial" w:eastAsia="Arial" w:hAnsi="Arial"/>
                <w:color w:val="0E0E11"/>
                <w:sz w:val="20"/>
                <w:szCs w:val="20"/>
              </w:rPr>
              <w:t xml:space="preserve">A deviation is not necessarily an error.</w:t>
            </w:r>
          </w:p>
          <w:p>
            <w:pPr>
              <w:spacing w:after="60" w:line="264"/>
            </w:pPr>
            <w:r>
              <w:rPr>
                <w:rFonts w:ascii="Arial" w:cs="Arial" w:eastAsia="Arial" w:hAnsi="Arial"/>
                <w:color w:val="0E0E11"/>
                <w:sz w:val="20"/>
                <w:szCs w:val="20"/>
              </w:rPr>
              <w:t xml:space="preserve">A correlation is not a root cause.</w:t>
            </w:r>
          </w:p>
          <w:p>
            <w:pPr>
              <w:spacing w:after="60" w:line="264"/>
            </w:pPr>
            <w:r>
              <w:rPr>
                <w:rFonts w:ascii="Arial" w:cs="Arial" w:eastAsia="Arial" w:hAnsi="Arial"/>
                <w:color w:val="0E0E11"/>
                <w:sz w:val="20"/>
                <w:szCs w:val="20"/>
              </w:rPr>
              <w:t xml:space="preserve">A terminology match is not clinical approval.</w:t>
            </w:r>
          </w:p>
          <w:p>
            <w:pPr>
              <w:spacing w:after="60" w:line="264"/>
            </w:pPr>
            <w:r>
              <w:rPr>
                <w:rFonts w:ascii="Arial" w:cs="Arial" w:eastAsia="Arial" w:hAnsi="Arial"/>
                <w:color w:val="0E0E11"/>
                <w:sz w:val="20"/>
                <w:szCs w:val="20"/>
              </w:rPr>
              <w:t xml:space="preserve">That separation is what makes the resulting OCEL program useful for improvement without turning incomplete data or research prose into unsafe clinical conclusions.</w:t>
            </w:r>
          </w:p>
        </w:tc>
      </w:tr>
    </w:tbl>
    <w:p>
      <w:pPr>
        <w:pBdr>
          <w:bottom w:val="single" w:color="C9A227" w:sz="12" w:space="6"/>
        </w:pBdr>
        <w:spacing w:after="60" w:before="480"/>
      </w:pPr>
      <w:r>
        <w:rPr>
          <w:rFonts w:ascii="Arial" w:cs="Arial" w:eastAsia="Arial" w:hAnsi="Arial"/>
          <w:b/>
          <w:bCs/>
          <w:color w:val="C9A227"/>
          <w:spacing w:val="120"/>
          <w:sz w:val="19"/>
          <w:szCs w:val="19"/>
        </w:rPr>
        <w:t xml:space="preserve">PART VI — APPENDICES</w:t>
      </w:r>
    </w:p>
    <w:p>
      <w:pPr>
        <w:spacing w:after="120"/>
      </w:pPr>
    </w:p>
    <w:p>
      <w:pPr>
        <w:keepNext/>
        <w:spacing w:after="160" w:before="400"/>
      </w:pPr>
      <w:r>
        <w:rPr>
          <w:rFonts w:ascii="Arial" w:cs="Arial" w:eastAsia="Arial" w:hAnsi="Arial"/>
          <w:b/>
          <w:bCs/>
          <w:color w:val="9B1B30"/>
          <w:sz w:val="38"/>
          <w:szCs w:val="38"/>
        </w:rPr>
        <w:t xml:space="preserve">Appendix A — 250-pathway modeling worklist</w:t>
      </w:r>
    </w:p>
    <w:p>
      <w:pPr>
        <w:keepNext w:val="false"/>
        <w:spacing w:after="120" w:before="0" w:line="276"/>
        <w:jc w:val="left"/>
      </w:pPr>
      <w:r>
        <w:rPr>
          <w:rFonts w:ascii="Arial" w:cs="Arial" w:eastAsia="Arial" w:hAnsi="Arial"/>
          <w:b w:val="false"/>
          <w:bCs w:val="false"/>
          <w:i w:val="false"/>
          <w:iCs w:val="false"/>
          <w:color w:val="0E0E11"/>
          <w:sz w:val="22"/>
          <w:szCs w:val="22"/>
        </w:rPr>
        <w:t xml:space="preserve">One row per pathway: a technical normalisation and measurement backlog. This is not clinical approval, a coding directive, an order set, or a claim that any candidate terminology is appropriate for a specific patient.</w:t>
      </w:r>
    </w:p>
    <w:p>
      <w:pPr>
        <w:keepNext/>
        <w:spacing w:after="120" w:before="320"/>
      </w:pPr>
      <w:r>
        <w:rPr>
          <w:rFonts w:ascii="Arial" w:cs="Arial" w:eastAsia="Arial" w:hAnsi="Arial"/>
          <w:b/>
          <w:bCs/>
          <w:color w:val="9B1B30"/>
          <w:sz w:val="32"/>
          <w:szCs w:val="32"/>
        </w:rPr>
        <w:t xml:space="preserve">How to read the worklist</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Lane is copied from the governed release disposition: 96 pathways can enter institutional-signoff normalisation, 148 need specialist review with documented limitations first, and 6 need redesign or explicit non-protocol classification.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Complexity (Cx) is a technical workload heuristic derived from narrative clause volume, timing language, conditional language, and surgical workflow — not clinical severity, risk, or activation readiness.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Clause (Cl), timing (Tm), and conditional (Cd) counts are lexical inventory aids. They identify text a knowledge engineer must decompose; they are not executable steps or validated rules.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Terminology counts (LNC, CPT, SCT, ICD) reproduce the workbook's source-verified candidate counts. They prove source existence only. Descendant and category fan-out, inherited mappings, and lexical matches must not be treated as clinical equivalence.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Object focus (Obj) is the minimum object-centric scope to investigate. Each pathway still needs site-specific source bindings, identity rules, timestamp semantics, exception handling, and clinician approval.</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Every pathway must be measured using the common architecture in Parts II and III: applicability, version pinning, observed-event binding, step and constraint ledger, coverage and confidence, outcome and safety screens, and human review.</w:t>
      </w:r>
    </w:p>
    <w:p>
      <w:pPr>
        <w:keepNext/>
        <w:spacing w:after="120" w:before="320"/>
      </w:pPr>
      <w:r>
        <w:rPr>
          <w:rFonts w:ascii="Arial" w:cs="Arial" w:eastAsia="Arial" w:hAnsi="Arial"/>
          <w:b/>
          <w:bCs/>
          <w:color w:val="9B1B30"/>
          <w:sz w:val="32"/>
          <w:szCs w:val="32"/>
        </w:rPr>
        <w:t xml:space="preserve">Column keys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400"/>
        <w:gridCol w:w="6960"/>
      </w:tblGrid>
      <w:tr>
        <w:trPr>
          <w:tblHeader/>
        </w:trPr>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Binding focus (Bind)</w:t>
            </w:r>
          </w:p>
        </w:tc>
        <w:tc>
          <w:tcPr>
            <w:tcW w:type="dxa" w:w="6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Meaning</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LOINC candidate order / result bindings</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CPT procedure candidates</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Local procedure / ICD-10-PCS binding required — do NOT infer PCS</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SNOMED CT candidate clinical concepts</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ICD-10-CM candidate applicability / reconciliation</w:t>
            </w:r>
          </w:p>
        </w:tc>
      </w:tr>
    </w:tbl>
    <w:p>
      <w:pPr>
        <w:spacing w:after="120"/>
      </w:pP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400"/>
        <w:gridCol w:w="6960"/>
      </w:tblGrid>
      <w:tr>
        <w:trPr>
          <w:tblHeader/>
        </w:trPr>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Object focus (Obj)</w:t>
            </w:r>
          </w:p>
        </w:tc>
        <w:tc>
          <w:tcPr>
            <w:tcW w:type="dxa" w:w="6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Minimum object-centric scope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O1</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Encounter; condition; orders / specimens / results; medications; location; team; barriers</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O2</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Encounter; procedure / OR case; orders / specimens / results; medications; location; team; equipment; barriers</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O3</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Maternal encounter; delivery episode; fetus / newborn or dyad; orders / results; medications; location; team; barriers</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O4</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Newborn encounter; maternal / dyad link; observations / screens; feeding / medications; location; team; barriers</w:t>
            </w:r>
          </w:p>
        </w:tc>
      </w:tr>
    </w:tbl>
    <w:p>
      <w:pPr>
        <w:spacing w:after="120"/>
      </w:pP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200"/>
        <w:gridCol w:w="2480"/>
        <w:gridCol w:w="2200"/>
        <w:gridCol w:w="2480"/>
      </w:tblGrid>
      <w:tr>
        <w:trPr>
          <w:tblHeader/>
        </w:trPr>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Abbreviation</w:t>
            </w:r>
          </w:p>
        </w:tc>
        <w:tc>
          <w:tcPr>
            <w:tcW w:type="dxa" w:w="24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Expansion</w:t>
            </w:r>
          </w:p>
        </w:tc>
        <w:tc>
          <w:tcPr>
            <w:tcW w:type="dxa" w:w="2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Abbreviation</w:t>
            </w:r>
          </w:p>
        </w:tc>
        <w:tc>
          <w:tcPr>
            <w:tcW w:type="dxa" w:w="24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Expansion</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 / Surg / Obs / Neo</w:t>
            </w:r>
          </w:p>
        </w:tc>
        <w:tc>
          <w:tcPr>
            <w:tcW w:type="dxa" w:w="24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Medical / Surgical / Obstetric / Neonatal</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Signoff</w:t>
            </w:r>
          </w:p>
        </w:tc>
        <w:tc>
          <w:tcPr>
            <w:tcW w:type="dxa" w:w="24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Signoff → normalize</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V.high / High / Mod</w:t>
            </w:r>
          </w:p>
        </w:tc>
        <w:tc>
          <w:tcPr>
            <w:tcW w:type="dxa" w:w="24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Complexity heuristic</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Specialist</w:t>
            </w:r>
          </w:p>
        </w:tc>
        <w:tc>
          <w:tcPr>
            <w:tcW w:type="dxa" w:w="24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Specialist review → normalize</w:t>
            </w:r>
          </w:p>
        </w:tc>
      </w:tr>
      <w:tr>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Low/het</w:t>
            </w:r>
          </w:p>
        </w:tc>
        <w:tc>
          <w:tcPr>
            <w:tcW w:type="dxa" w:w="24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 heterogeneous source specificity</w:t>
            </w:r>
          </w:p>
        </w:tc>
        <w:tc>
          <w:tcPr>
            <w:tcW w:type="dxa" w:w="2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Redesign</w:t>
            </w:r>
          </w:p>
        </w:tc>
        <w:tc>
          <w:tcPr>
            <w:tcW w:type="dxa" w:w="24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Redesign / non-protocol</w:t>
            </w:r>
          </w:p>
        </w:tc>
      </w:tr>
      <w:tr>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Low/weak</w:t>
            </w:r>
          </w:p>
        </w:tc>
        <w:tc>
          <w:tcPr>
            <w:tcW w:type="dxa" w:w="24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Low, weak-title source specificity</w:t>
            </w:r>
          </w:p>
        </w:tc>
        <w:tc>
          <w:tcPr>
            <w:tcW w:type="dxa" w:w="2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 / Tm / Cd</w:t>
            </w:r>
          </w:p>
        </w:tc>
        <w:tc>
          <w:tcPr>
            <w:tcW w:type="dxa" w:w="24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Clauses / timing terms / conditional terms</w:t>
            </w:r>
          </w:p>
        </w:tc>
      </w:tr>
    </w:tbl>
    <w:p>
      <w:pPr>
        <w:spacing w:after="160"/>
      </w:pPr>
    </w:p>
    <w:p>
      <w:pPr>
        <w:keepNext/>
        <w:spacing w:after="120" w:before="320"/>
      </w:pPr>
      <w:r>
        <w:rPr>
          <w:rFonts w:ascii="Arial" w:cs="Arial" w:eastAsia="Arial" w:hAnsi="Arial"/>
          <w:b/>
          <w:bCs/>
          <w:color w:val="9B1B30"/>
          <w:sz w:val="32"/>
          <w:szCs w:val="32"/>
        </w:rPr>
        <w:t xml:space="preserve">Required exit evidence for every row</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pathway leaves this worklist only when all of the following are versioned and reviewable:</w:t>
      </w:r>
    </w:p>
    <w:p>
      <w:pPr>
        <w:pStyle w:val="ListParagraph"/>
        <w:numPr>
          <w:ilvl w:val="0"/>
          <w:numId w:val="9"/>
        </w:numPr>
        <w:spacing w:after="60" w:before="20" w:line="276"/>
      </w:pPr>
      <w:r>
        <w:rPr>
          <w:rFonts w:ascii="Arial" w:cs="Arial" w:eastAsia="Arial" w:hAnsi="Arial"/>
          <w:color w:val="0E0E11"/>
          <w:sz w:val="22"/>
          <w:szCs w:val="22"/>
        </w:rPr>
        <w:t xml:space="preserve">Institutional scope, accountable owner, and approval period.</w:t>
      </w:r>
    </w:p>
    <w:p>
      <w:pPr>
        <w:pStyle w:val="ListParagraph"/>
        <w:numPr>
          <w:ilvl w:val="0"/>
          <w:numId w:val="9"/>
        </w:numPr>
        <w:spacing w:after="60" w:before="20" w:line="276"/>
      </w:pPr>
      <w:r>
        <w:rPr>
          <w:rFonts w:ascii="Arial" w:cs="Arial" w:eastAsia="Arial" w:hAnsi="Arial"/>
          <w:color w:val="0E0E11"/>
          <w:sz w:val="22"/>
          <w:szCs w:val="22"/>
        </w:rPr>
        <w:t xml:space="preserve">Patient and encounter applicability logic, explicit exclusions, and clinician-confirmation policy.</w:t>
      </w:r>
    </w:p>
    <w:p>
      <w:pPr>
        <w:pStyle w:val="ListParagraph"/>
        <w:numPr>
          <w:ilvl w:val="0"/>
          <w:numId w:val="9"/>
        </w:numPr>
        <w:spacing w:after="60" w:before="20" w:line="276"/>
      </w:pPr>
      <w:r>
        <w:rPr>
          <w:rFonts w:ascii="Arial" w:cs="Arial" w:eastAsia="Arial" w:hAnsi="Arial"/>
          <w:color w:val="0E0E11"/>
          <w:sz w:val="22"/>
          <w:szCs w:val="22"/>
        </w:rPr>
        <w:t xml:space="preserve">Stable pathway stages, atomic activities, milestones, goals, branches, alternatives, repeats, and exception states.</w:t>
      </w:r>
    </w:p>
    <w:p>
      <w:pPr>
        <w:pStyle w:val="ListParagraph"/>
        <w:numPr>
          <w:ilvl w:val="0"/>
          <w:numId w:val="9"/>
        </w:numPr>
        <w:spacing w:after="60" w:before="20" w:line="276"/>
      </w:pPr>
      <w:r>
        <w:rPr>
          <w:rFonts w:ascii="Arial" w:cs="Arial" w:eastAsia="Arial" w:hAnsi="Arial"/>
          <w:color w:val="0E0E11"/>
          <w:sz w:val="22"/>
          <w:szCs w:val="22"/>
        </w:rPr>
        <w:t xml:space="preserve">Temporal constraints with named anchors, lower and upper bounds, units, calendar semantics, and early / late interpretation.</w:t>
      </w:r>
    </w:p>
    <w:p>
      <w:pPr>
        <w:pStyle w:val="ListParagraph"/>
        <w:numPr>
          <w:ilvl w:val="0"/>
          <w:numId w:val="9"/>
        </w:numPr>
        <w:spacing w:after="60" w:before="20" w:line="276"/>
      </w:pPr>
      <w:r>
        <w:rPr>
          <w:rFonts w:ascii="Arial" w:cs="Arial" w:eastAsia="Arial" w:hAnsi="Arial"/>
          <w:color w:val="0E0E11"/>
          <w:sz w:val="22"/>
          <w:szCs w:val="22"/>
        </w:rPr>
        <w:t xml:space="preserve">Source bindings for each expected observation — code system and version, local-code mappings, FHIR or source fields, timestamp role, object links, correction and retraction behaviour, and provenance.</w:t>
      </w:r>
    </w:p>
    <w:p>
      <w:pPr>
        <w:pStyle w:val="ListParagraph"/>
        <w:numPr>
          <w:ilvl w:val="0"/>
          <w:numId w:val="9"/>
        </w:numPr>
        <w:spacing w:after="60" w:before="20" w:line="276"/>
      </w:pPr>
      <w:r>
        <w:rPr>
          <w:rFonts w:ascii="Arial" w:cs="Arial" w:eastAsia="Arial" w:hAnsi="Arial"/>
          <w:color w:val="0E0E11"/>
          <w:sz w:val="22"/>
          <w:szCs w:val="22"/>
        </w:rPr>
        <w:t xml:space="preserve">Resource requirements and queue-state events sufficient to distinguish waiting, processing, blocked, canceled, and unavailable states.</w:t>
      </w:r>
    </w:p>
    <w:p>
      <w:pPr>
        <w:pStyle w:val="ListParagraph"/>
        <w:numPr>
          <w:ilvl w:val="0"/>
          <w:numId w:val="9"/>
        </w:numPr>
        <w:spacing w:after="60" w:before="20" w:line="276"/>
      </w:pPr>
      <w:r>
        <w:rPr>
          <w:rFonts w:ascii="Arial" w:cs="Arial" w:eastAsia="Arial" w:hAnsi="Arial"/>
          <w:color w:val="0E0E11"/>
          <w:sz w:val="22"/>
          <w:szCs w:val="22"/>
        </w:rPr>
        <w:t xml:space="preserve">Safety and outcome measures with numerator, denominator, exclusions, risk adjustment or stratification, and harm / adjudication rules.</w:t>
      </w:r>
    </w:p>
    <w:p>
      <w:pPr>
        <w:pStyle w:val="ListParagraph"/>
        <w:numPr>
          <w:ilvl w:val="0"/>
          <w:numId w:val="9"/>
        </w:numPr>
        <w:spacing w:after="60" w:before="20" w:line="276"/>
      </w:pPr>
      <w:r>
        <w:rPr>
          <w:rFonts w:ascii="Arial" w:cs="Arial" w:eastAsia="Arial" w:hAnsi="Arial"/>
          <w:color w:val="0E0E11"/>
          <w:sz w:val="22"/>
          <w:szCs w:val="22"/>
        </w:rPr>
        <w:t xml:space="preserve">Synthetic tests, chart-reviewed gold cases, inter-rater agreement, data-completeness thresholds, and shadow-mode performance.</w:t>
      </w:r>
    </w:p>
    <w:p>
      <w:pPr>
        <w:pStyle w:val="ListParagraph"/>
        <w:numPr>
          <w:ilvl w:val="0"/>
          <w:numId w:val="9"/>
        </w:numPr>
        <w:spacing w:after="60" w:before="20" w:line="276"/>
      </w:pPr>
      <w:r>
        <w:rPr>
          <w:rFonts w:ascii="Arial" w:cs="Arial" w:eastAsia="Arial" w:hAnsi="Arial"/>
          <w:color w:val="0E0E11"/>
          <w:sz w:val="22"/>
          <w:szCs w:val="22"/>
        </w:rPr>
        <w:t xml:space="preserve">Immutable model digest, evaluator version, source cutoff, measurement run ID, and reproducible patient-step evidence.</w:t>
      </w:r>
    </w:p>
    <w:p>
      <w:pPr>
        <w:pStyle w:val="ListParagraph"/>
        <w:numPr>
          <w:ilvl w:val="0"/>
          <w:numId w:val="9"/>
        </w:numPr>
        <w:spacing w:after="60" w:before="20" w:line="276"/>
      </w:pPr>
      <w:r>
        <w:rPr>
          <w:rFonts w:ascii="Arial" w:cs="Arial" w:eastAsia="Arial" w:hAnsi="Arial"/>
          <w:color w:val="0E0E11"/>
          <w:sz w:val="22"/>
          <w:szCs w:val="22"/>
        </w:rPr>
        <w:t xml:space="preserve">A governed projection policy for staff, patient, Hummingbird, Patient Flow 4D, Arena, and Eddy surfaces; raw research prose is never exposed directly.</w:t>
      </w:r>
    </w:p>
    <w:p>
      <w:pPr>
        <w:sectPr>
          <w:headerReference w:type="default" r:id="rId11"/>
          <w:footerReference w:type="default" r:id="rId12"/>
          <w:pgSz w:w="12240" w:h="15840" w:orient="portrait"/>
          <w:pgMar w:top="1260" w:right="1440" w:bottom="1260" w:left="1440" w:header="620" w:footer="620" w:gutter="0"/>
          <w:pgNumType/>
          <w:docGrid w:linePitch="360"/>
        </w:sectPr>
      </w:pPr>
    </w:p>
    <w:p>
      <w:pPr>
        <w:keepNext/>
        <w:spacing w:after="160" w:before="400"/>
      </w:pPr>
      <w:r>
        <w:rPr>
          <w:rFonts w:ascii="Arial" w:cs="Arial" w:eastAsia="Arial" w:hAnsi="Arial"/>
          <w:b/>
          <w:bCs/>
          <w:color w:val="9B1B30"/>
          <w:sz w:val="38"/>
          <w:szCs w:val="38"/>
        </w:rPr>
        <w:t xml:space="preserve">Appendix A — Worklist (250 rows)</w:t>
      </w:r>
    </w:p>
    <w:p>
      <w:pPr>
        <w:keepNext w:val="false"/>
        <w:spacing w:after="120" w:before="0" w:line="276"/>
        <w:jc w:val="left"/>
      </w:pPr>
      <w:r>
        <w:rPr>
          <w:rFonts w:ascii="Arial" w:cs="Arial" w:eastAsia="Arial" w:hAnsi="Arial"/>
          <w:b w:val="false"/>
          <w:bCs w:val="false"/>
          <w:i w:val="false"/>
          <w:iCs w:val="false"/>
          <w:color w:val="0E0E11"/>
          <w:sz w:val="22"/>
          <w:szCs w:val="22"/>
        </w:rPr>
        <w:t xml:space="preserve">Ranked by the governed release ordering. Column keys are given in the preceding pages.</w:t>
      </w:r>
    </w:p>
    <w:p>
      <w:pPr>
        <w:spacing w:after="80"/>
      </w:pPr>
    </w:p>
    <w:tbl>
      <w:tblPr>
        <w:tblW w:type="dxa" w:w="14400"/>
        <w:tblBorders>
          <w:top w:val="single" w:color="D5D5D8" w:sz="2"/>
          <w:left w:val="single" w:color="D5D5D8" w:sz="2"/>
          <w:bottom w:val="single" w:color="D5D5D8" w:sz="2"/>
          <w:right w:val="single" w:color="D5D5D8" w:sz="2"/>
          <w:insideH w:val="single" w:color="D5D5D8" w:sz="2"/>
          <w:insideV w:val="single" w:color="D5D5D8" w:sz="2"/>
        </w:tblBorders>
      </w:tblPr>
      <w:tblGrid>
        <w:gridCol w:w="480"/>
        <w:gridCol w:w="3250"/>
        <w:gridCol w:w="680"/>
        <w:gridCol w:w="1950"/>
        <w:gridCol w:w="1300"/>
        <w:gridCol w:w="950"/>
        <w:gridCol w:w="780"/>
        <w:gridCol w:w="470"/>
        <w:gridCol w:w="470"/>
        <w:gridCol w:w="470"/>
        <w:gridCol w:w="580"/>
        <w:gridCol w:w="580"/>
        <w:gridCol w:w="580"/>
        <w:gridCol w:w="580"/>
        <w:gridCol w:w="740"/>
        <w:gridCol w:w="540"/>
      </w:tblGrid>
      <w:tr>
        <w:trPr>
          <w:tblHeader/>
        </w:trPr>
        <w:tc>
          <w:tcPr>
            <w:tcW w:type="dxa" w:w="4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w:t>
            </w:r>
          </w:p>
        </w:tc>
        <w:tc>
          <w:tcPr>
            <w:tcW w:type="dxa" w:w="325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4"/>
                <w:szCs w:val="14"/>
              </w:rPr>
              <w:t xml:space="preserve">Pathway</w:t>
            </w:r>
          </w:p>
        </w:tc>
        <w:tc>
          <w:tcPr>
            <w:tcW w:type="dxa" w:w="6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4"/>
                <w:szCs w:val="14"/>
              </w:rPr>
              <w:t xml:space="preserve">Care</w:t>
            </w:r>
          </w:p>
        </w:tc>
        <w:tc>
          <w:tcPr>
            <w:tcW w:type="dxa" w:w="195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4"/>
                <w:szCs w:val="14"/>
              </w:rPr>
              <w:t xml:space="preserve">Service line</w:t>
            </w:r>
          </w:p>
        </w:tc>
        <w:tc>
          <w:tcPr>
            <w:tcW w:type="dxa" w:w="13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4"/>
                <w:szCs w:val="14"/>
              </w:rPr>
              <w:t xml:space="preserve">Lane</w:t>
            </w:r>
          </w:p>
        </w:tc>
        <w:tc>
          <w:tcPr>
            <w:tcW w:type="dxa" w:w="95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4"/>
                <w:szCs w:val="14"/>
              </w:rPr>
              <w:t xml:space="preserve">Spec.</w:t>
            </w:r>
          </w:p>
        </w:tc>
        <w:tc>
          <w:tcPr>
            <w:tcW w:type="dxa" w:w="78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4"/>
                <w:szCs w:val="14"/>
              </w:rPr>
              <w:t xml:space="preserve">Cx</w:t>
            </w:r>
          </w:p>
        </w:tc>
        <w:tc>
          <w:tcPr>
            <w:tcW w:type="dxa" w:w="47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Cl</w:t>
            </w:r>
          </w:p>
        </w:tc>
        <w:tc>
          <w:tcPr>
            <w:tcW w:type="dxa" w:w="47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Tm</w:t>
            </w:r>
          </w:p>
        </w:tc>
        <w:tc>
          <w:tcPr>
            <w:tcW w:type="dxa" w:w="47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Cd</w:t>
            </w:r>
          </w:p>
        </w:tc>
        <w:tc>
          <w:tcPr>
            <w:tcW w:type="dxa" w:w="5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LNC</w:t>
            </w:r>
          </w:p>
        </w:tc>
        <w:tc>
          <w:tcPr>
            <w:tcW w:type="dxa" w:w="5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CPT</w:t>
            </w:r>
          </w:p>
        </w:tc>
        <w:tc>
          <w:tcPr>
            <w:tcW w:type="dxa" w:w="5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SCT</w:t>
            </w:r>
          </w:p>
        </w:tc>
        <w:tc>
          <w:tcPr>
            <w:tcW w:type="dxa" w:w="5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4"/>
                <w:szCs w:val="14"/>
              </w:rPr>
              <w:t xml:space="preserve">ICD</w:t>
            </w:r>
          </w:p>
        </w:tc>
        <w:tc>
          <w:tcPr>
            <w:tcW w:type="dxa" w:w="740"/>
            <w:shd w:fill="1A1A2E" w:color="auto" w:val="clear"/>
            <w:tcMar>
              <w:top w:type="dxa" w:w="70"/>
              <w:left w:type="dxa" w:w="90"/>
              <w:bottom w:type="dxa" w:w="70"/>
              <w:right w:type="dxa" w:w="90"/>
            </w:tcMar>
            <w:vAlign w:val="center"/>
          </w:tcPr>
          <w:p>
            <w:pPr>
              <w:spacing w:after="0" w:before="0" w:line="240"/>
              <w:jc w:val="center"/>
            </w:pPr>
            <w:r>
              <w:rPr>
                <w:rFonts w:ascii="Arial" w:cs="Arial" w:eastAsia="Arial" w:hAnsi="Arial"/>
                <w:b/>
                <w:bCs/>
                <w:color w:val="FFFFFF"/>
                <w:sz w:val="14"/>
                <w:szCs w:val="14"/>
              </w:rPr>
              <w:t xml:space="preserve">Bind</w:t>
            </w:r>
          </w:p>
        </w:tc>
        <w:tc>
          <w:tcPr>
            <w:tcW w:type="dxa" w:w="540"/>
            <w:shd w:fill="1A1A2E" w:color="auto" w:val="clear"/>
            <w:tcMar>
              <w:top w:type="dxa" w:w="70"/>
              <w:left w:type="dxa" w:w="90"/>
              <w:bottom w:type="dxa" w:w="70"/>
              <w:right w:type="dxa" w:w="90"/>
            </w:tcMar>
            <w:vAlign w:val="center"/>
          </w:tcPr>
          <w:p>
            <w:pPr>
              <w:spacing w:after="0" w:before="0" w:line="240"/>
              <w:jc w:val="center"/>
            </w:pPr>
            <w:r>
              <w:rPr>
                <w:rFonts w:ascii="Arial" w:cs="Arial" w:eastAsia="Arial" w:hAnsi="Arial"/>
                <w:b/>
                <w:bCs/>
                <w:color w:val="FFFFFF"/>
                <w:sz w:val="14"/>
                <w:szCs w:val="14"/>
              </w:rPr>
              <w:t xml:space="preserve">Obj</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Normal Newborn (liveborn, uncomplicated)</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Neo</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Neonatal / Newborn</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O4</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Vaginal Delivery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Obstetrics</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O3</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Sepsis / Septicemia</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COVID-19 (viral pneumonia / respiratory infection)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Cesarean Delivery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Obstetrics</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O3</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Heart Failure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Simple Pneumonia &amp; Pleurisy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Joint Replacement (Hip/Knee, Lower Extremity)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Myocardial Infarction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Cardiac Dysrhythmias / Atrial Fibrillation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Neonate with Significant Problems / Prematurity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Neo</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Neonatal / Newborn</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O4</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Kidney Injury / Renal Failure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Diabetes with Complications (incl. DKA / HHS)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COPD Exacerbation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Ischemic Stroke / Cerebral Infarction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117</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Urinary Tract Infection / Kidney Infection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Cellulitis / Skin &amp; Soft Tissue Infection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Psychoses / Schizophrenia / Bipolar Disorder</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Respiratory Failure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Spinal Fusion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Percutaneous Coronary Intervention (PCI)</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GI Hemorrhage (upper &amp; lower)</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Cholecystectomy / Biliary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Esophagitis, Gastroenteritis &amp; Misc. Digestive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Fluid &amp; Electrolyte Disorders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Low/weak</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Alcohol / Drug Abuse &amp; Dependence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Antepartum / Pregnancy without Delivery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Obstetrics</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O3</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Complications of Surgical / Medical Care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Nursing / Med-Surg</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Low/weak</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Intestinal Obstruction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Depressive &amp; Mood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Hip / Femur Fracture Repair (except major joint)</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Coronary Atherosclerosis &amp; Chest Pain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Pancreatitis / Disorders of Pancreas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Appendectomy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Small &amp; Large Bowel Resection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Poisoning / Drug Overdose / Toxic Effects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Pulmonary Embolism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Seizures / Epilepsy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94</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Back &amp; Neck Procedures except Spinal Fusion (Discectomy/Laminectomy)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Syncope &amp; Collapse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Emergency Department</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Anemia &amp; Red Blood Cell Disorders (incl. Sickle Cell)</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Liver Disease / Cirrhosis / Alcoholic Hepatitis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Cardiac Valve Procedures (TAVR / SAVR)</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Cardiac Pacemaker / Defibrillator (ICD) Implant</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Hysterectomy (non-malignancy)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Asthma</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Rehabilitation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Nursing / Med-Surg</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Coronary Artery Bypass Graft (CABG)</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Craniotomy (tumor, trauma, hemorrhage)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Transient Ischemic Attack (TIA)</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Emergency Department</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Chemotherapy / Cancer Treatment Admission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Nursing / Med-Surg</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Lung Cancer / Respiratory Neoplasm</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Chronic Kidney Disease / Other Kidney &amp; Urinary Diagnoses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Lower-Limb Amputation (circulatory/diabetic)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Peripheral Vascular Disease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Degenerative Nervous System Disorders (Parkinson/Dementia/ALS)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Nursing / Med-Surg</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Diverticulitis / Inflammatory Bowel Disease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Leukemia / Lymphoma</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Nursing / Med-Surg</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Hypertension / Hypertensive Emergency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Kidney / Urinary Stones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Endocrine, Nutritional &amp; Metabolic Disorders (other)</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Skin Ulcer / Wound Debridement &amp; Skin Graft</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Altered Mental Status / Nontraumatic Coma</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Tracheostomy / Prolonged Mechanical Ventilation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Traumatic Brain Injury / Intracranial Injury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815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Medical Back Problems / Spondylopathy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Respiratory Infections &amp; Inflammations (incl. Aspiration Pneumonia)</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Pleural Effusion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Endocarditis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Deep Vein Thrombosis / Phlebitis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Digestive Malignancy (Colorectal &amp; Other GI Cancer)</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Breast Procedures / Mastectomy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Osteomyelitis / Bone Infection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239</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Vascular Procedures (Bypass / Carotid Endarterectomy)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Cardiac Arrest / Cardiogenic Shock</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Cardiomyopathy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Hernia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Coagulation &amp; Platelet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Female Reproductive Procedures (non-hysterectomy)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Bariatric Surgery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Prostate Procedures (incl. TURP)</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Aortic Aneurysm / Major Vascular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Uterine / Adnexa Procedures for Malignancy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Headache / Migraine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Emergency Department</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85</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Bladder / Urinary Tract Neoplasm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Low/weak</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Multiple Significant Trauma</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Abortion / Miscarriage (spontaneous &amp; induced)</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Obstetrics</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O3</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Hip / Knee Joint Revision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Nervous System Infection (Meningitis / Encephalitis)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Upper-Extremity &amp; Other Fracture Repair</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Kidney &amp; Ureter Procedures (non-transplant, non-neoplasm)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Aftercare / Convalescence / Health Status Factors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Nursing / Med-Surg</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Redesign</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Hyperglycemia / Diabetes without Complication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ENT / Airway Procedures (T&amp;A, sinus, upper airway)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Bronchiolitis / RSV &amp; Other Pediatric Respiratory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Ectopic Pregnancy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Obstetrics</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28</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O3</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Interstitial &amp; Other Chronic Lung Disease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Connective Tissue &amp; Autoimmune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Low/weak</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Nervous System Neoplasm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Peptic Ulcer Disease / Gastritis (complicated)</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Peripheral &amp; Cranial Nerve Disorders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168</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Childhood / Adjustment / Anxiety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Burns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Peritonitis / Intra-abdominal Abscess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HIV Infection / Complications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Diabetic Foot / Lower-Extremity Ulcer</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Thyroid / Parathyroid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Cholangitis / Bile Duct Obstruction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Gastrointestinal Feeding Tube / Other GI OR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Postpartum &amp; Post-abortion Complications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Obstetrics</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O3</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Allergic Reactions / Anaphylaxis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Emergency Department</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Gastroparesis / Nausea &amp; Vomiting</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Viral Illness / Fever of Unknown Origin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Emergency Department</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Spinal Cord Injury / Spinal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Pneumothorax / Chest Trauma</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Skin Malignancy / Other Skin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Low/weak</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Nephrectomy (Kidney Neoplasm)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Cardiac Congenital &amp; Valvular Medical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Bladder Procedures (Cystectomy)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Bone Marrow / Stem Cell Transplant</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Pelvic Inflammatory Disease / Female Infection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RTDC / Medical Capacity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Male Reproductive Disorders (medical &amp; minor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ECMO / Organ Transplant (Heart, Liver, Lung)</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148</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Amputation (Musculoskeletal, non-circulatory)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Kidney Transplant</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57</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Dental / Oral &amp; Maxillofacial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Eye Procedures &amp; Disorders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Low/weak</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Splenectomy / Other Blood &amp; Immune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37</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Adrenal / Pituitary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Perioperative / Surgical</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Signoff</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196</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Substance-Induced Mental Disorders / Withdrawal</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&amp; Parasitic Disease O.R. Procedures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Diseases /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Percutaneous &amp; Other Intracardiac Procedures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Hip Replacement with Principal Diagnosis of Hip Fracture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Digestive System Diagnoses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Disorders of Nervous System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Digestive System Diagnoses — With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Fracture, Sprain, Strain and Dislocation Except Femur, Hip, Pelvis and Thigh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Musculoskeletal System and Connective Tissue O.R.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&amp; Parasitic Disease O.R. Procedures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Diseases /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Extensive O.R. Procedures Unrelated to Principal Diagnosis — With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 / Perioperative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Redesign</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Cerebrovascular Disorders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Chest Trauma</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Pulmonary / 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Malignancy of Hepatobiliary System OR Pancreas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Hepatology / Hepatobiliary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Pathological Fractures and Musculoskeletal and Connective Tissue Malignancy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Postoperative and Post-traumatic Infections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Diseases /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Fractures of Hip and Pelvis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Cerebrovascular Disorders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Hematological and Immunological Diagnoses Except Sickle Cell Crisis and Coagulation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O.R. Procedures for Injuries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 / Acute Care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Respiratory System Diagnoses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Pulmonary / Critical Care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Lower Extremity and Humerus Procedures Except Hip, Foot and Femur — With 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Disorders of Nervous System — With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Carotid Artery Stent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 to The Skin, Subcutaneous Tissue and Breast</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Wound Care / Plastic or Breast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Hip Replacement with Principal Diagnosis of Hip Fracture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Postoperative OR Post-traumatic Infections with O.R.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Diseases /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45</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Peritoneal Adhesiolysis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Musculoskeletal System and Connective Tissue Diagnoses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Dysequilibrium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Otolaryngology / Head &amp; Neck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Joint OR Limb Reattachment Procedures of Upper Extremities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Stomach, Esophageal and Duodenal Procedures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Non-extensive O.R. Procedures Unrelated to Principal Diagnosis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 / Perioperative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Redesign</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Cardiothoracic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Tendonitis, Myositis and Bursitis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Wound Debridement and Skin Graft Except Hand for Musculoskeletal and Connective Tissue Disorders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Extensive O.R. Procedures Unrelated to Principal Diagnosis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 / Perioperative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Redesign</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Bone Diseases and Arthropathies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Signs and Symptoms of Musculoskeletal System and Connective Tissue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Aftercare, Musculoskeletal System and Connective Tissue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Redesign</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Biopsies of Musculoskeletal System and Connective Tissue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Pancreas, Liver and Shunt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Hepatology / Hepatobiliary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Esophageal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Pathological Fractures and Musculoskeletal and Connective Tissue Malignancy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Stomach, Esophageal and Duodenal Procedures — With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Circulatory System O.R.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Percutaneous &amp; Other Intracardiac Procedures — With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Skin, Subcutaneous Tissue and Breast Procedures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Wound Care / Plastic or Breast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Soft Tissue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Fractures of Hip and Pelvis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Skin Debridement</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Wound Care / Plastic or Breast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Headaches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Endocrine, Nutritional and Metabolic O.R.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Endocrinology / Endocrine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Fracture, Sprain, Strain and Dislocation Except Femur, Hip, Pelvis and Thigh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Precerebral Occlusion without Infarction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Minor Skin Disorders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Wound Care / Plastic or Breast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Otitis Media and URI</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Otolaryngology / Head &amp; Neck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Lower Extremity and Humerus Procedures Except Hip, Foot and Femur — With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Kidney and URInary Tract Signs and Symptoms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 / Nephrology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Respiratory System O.R. Procedures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Pulmonary / 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Ventricular Shunt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Peripheral, Cranial Nerve and Other Nervous System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Knee Procedures with Principal Diagnosis of Infection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Transurethral Prostatectomy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Adjustment Reaction and Psychosocial Dysfunction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Knee Procedures without Principal Diagnosis of Infection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44</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Reticuloendothelial and Immunity Disorders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Peripheral, Cranial Nerve and Other Nervous System Procedures with CC OR Peripheral Neurostimulator</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Fever and Inflammatory Conditions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Diseases /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Respiratory Signs and Symptoms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Pulmonary / 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Head and Neck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Otolaryngology / Head &amp; Neck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Malignancy, Female Reproductive System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Gynecology / Gynecologic Oncology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Intracranial Vascular Procedures with Principal Diagnosis Hemorrhage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Foot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Heart Assist System Implant</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Myeloproliferative Disorders OR Poorly Differentiated Neoplasms with Major O.R.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 / Oncology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Kidney Transplant with Hemodialysis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 / Nephrology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Multiple Sclerosis and Cerebellar Ataxia</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Adrenal and Pituitary Procedures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Endocrinology / Endocrine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209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Minor Small and Large Bowel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Fractures of Femur</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Wound Debridements for Injuries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 / Acute Care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Uncomplicated Peptic Ulcer</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Ultrasound Accelerated and Other Thrombolysis of Peripheral Vascular Structures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Traumatic Injury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 / Acute Care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Upper Limb and Toe Amputation for Circulatory System Disorders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Myeloproliferative Disorders OR Poorly Differentiated Neoplasms with Other Procedures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 / Oncology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Ear, Nose, Mouth and Throat Malignancy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Otolaryngology / Head &amp; Neck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Epistaxis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Otolaryngology / Head &amp; Neck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Prostatectomy</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 / Nephrology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Hepatobiliary OR Pancreas O.R.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Hepatology / Hepatobiliary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 Procedures with Diagnoses of Other Contact with Health Services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Hospital Medicine / Care Transitions</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Redesign</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Tracheostomy for Face, Mouth and Neck Diagnoses OR Laryngectomy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 / Perioperative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L·C·S</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Chimeric Antigen Receptor (car) T-CELL and Other Immunotherapies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 / Perioperative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Bilateral OR Multiple Major Joint Procedures of Lower Extremity</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Biliary Tract Procedures Except Only Cholecystectomy with OR without C.D.E.</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Hepatology / Hepatobiliary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Myeloproliferative Disorders OR Poorly Differentiated Neoplastic Diagnoses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 / Oncology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Concomitant Left Atrial Appendage Closure and Cardiac Ablation</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Endovascular Cardiac Valve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29</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229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Hepatobiliary Diagnostic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Hepatology / Hepatobiliary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Sprains, Strains, and Dislocations of Hip, Pelvis and Thigh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Ultrasound Accelerated and Other Thrombolysis with Principal Diagnosis Pulmonary Embolism</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Pulmonary / Critical Care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19</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Rectal Resection</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Gastroenterology / General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Skin Grafts for Injuries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 / Acute Care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13</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Concomitant Aortic and Mitral Valve Procedures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 Procedures with Principal Diagnosis of Mental Illness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Behavioral Health</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Penis Procedures — Without 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Viral Meningitis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Neurology / Neurosurgery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Mod</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Urethral Stricture</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 / Nephrology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39</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Minor Bladder Procedures — Without CC/MCC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 / Nephrology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Chemotherapy with Acute Leukemia As Secondary Diagnosis — Without CC/MCC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 / Oncology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241</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Urethral Procedures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 / Nephrology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242</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Hand Procedures for Injuries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Trauma / Acute Care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71</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243</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Major Thumb OR Joint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244</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Osteomyelitis — Without CC/MCC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14</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238</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245</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Testes Procedures — Without 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Urology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246</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Vein Ligation and Stripping</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Cardiology / Cardiovascular Surgery</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42</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21</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247</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Other Infectious and Parasitic Diseases Diagnoses — Without CC/MCC</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Infectious Diseases / Surgery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Low/het</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69</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8</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9</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O1</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248</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Local Excision and Removal of Internal Fixation Devices of Hip and Femur — Without CC/MCC</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Orthopedics / Musculoskeletal Medicine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Med</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249</w:t>
            </w:r>
          </w:p>
        </w:tc>
        <w:tc>
          <w:tcPr>
            <w:tcW w:type="dxa" w:w="32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Acute Leukemia with Other Procedures</w:t>
            </w:r>
          </w:p>
        </w:tc>
        <w:tc>
          <w:tcPr>
            <w:tcW w:type="dxa" w:w="6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Hematology / Oncology</w:t>
            </w:r>
          </w:p>
        </w:tc>
        <w:tc>
          <w:tcPr>
            <w:tcW w:type="dxa" w:w="13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72</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43</w:t>
            </w:r>
          </w:p>
        </w:tc>
        <w:tc>
          <w:tcPr>
            <w:tcW w:type="dxa" w:w="47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6</w:t>
            </w:r>
          </w:p>
        </w:tc>
        <w:tc>
          <w:tcPr>
            <w:tcW w:type="dxa" w:w="5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5</w:t>
            </w:r>
          </w:p>
        </w:tc>
        <w:tc>
          <w:tcPr>
            <w:tcW w:type="dxa" w:w="7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L·P·S·I</w:t>
            </w:r>
          </w:p>
        </w:tc>
        <w:tc>
          <w:tcPr>
            <w:tcW w:type="dxa" w:w="540"/>
            <w:shd w:fill="FFFFFF"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r>
        <w:tc>
          <w:tcPr>
            <w:tcW w:type="dxa" w:w="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250</w:t>
            </w:r>
          </w:p>
        </w:tc>
        <w:tc>
          <w:tcPr>
            <w:tcW w:type="dxa" w:w="32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Simultaneous Pancreas and Kidney Transplant with Hemodialysis</w:t>
            </w:r>
          </w:p>
        </w:tc>
        <w:tc>
          <w:tcPr>
            <w:tcW w:type="dxa" w:w="6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Surg</w:t>
            </w:r>
          </w:p>
        </w:tc>
        <w:tc>
          <w:tcPr>
            <w:tcW w:type="dxa" w:w="1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Critical Care / Perioperative</w:t>
            </w:r>
          </w:p>
        </w:tc>
        <w:tc>
          <w:tcPr>
            <w:tcW w:type="dxa" w:w="13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Specialist</w:t>
            </w:r>
          </w:p>
        </w:tc>
        <w:tc>
          <w:tcPr>
            <w:tcW w:type="dxa" w:w="95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78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3"/>
                <w:szCs w:val="13"/>
              </w:rPr>
              <w:t xml:space="preserve">High</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40</w:t>
            </w:r>
          </w:p>
        </w:tc>
        <w:tc>
          <w:tcPr>
            <w:tcW w:type="dxa" w:w="47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16</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7</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2</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5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3"/>
                <w:szCs w:val="13"/>
              </w:rPr>
              <w:t xml:space="preserve">0</w:t>
            </w:r>
          </w:p>
        </w:tc>
        <w:tc>
          <w:tcPr>
            <w:tcW w:type="dxa" w:w="7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L·C</w:t>
            </w:r>
          </w:p>
        </w:tc>
        <w:tc>
          <w:tcPr>
            <w:tcW w:type="dxa" w:w="540"/>
            <w:shd w:fill="F5F5F5" w:color="auto" w:val="clear"/>
            <w:tcMar>
              <w:top w:type="dxa" w:w="60"/>
              <w:left w:type="dxa" w:w="90"/>
              <w:bottom w:type="dxa" w:w="60"/>
              <w:right w:type="dxa" w:w="90"/>
            </w:tcMar>
            <w:vAlign w:val="center"/>
          </w:tcPr>
          <w:p>
            <w:pPr>
              <w:spacing w:after="0" w:before="0" w:line="240"/>
              <w:jc w:val="center"/>
            </w:pPr>
            <w:r>
              <w:rPr>
                <w:rFonts w:ascii="Arial" w:cs="Arial" w:eastAsia="Arial" w:hAnsi="Arial"/>
                <w:color w:val="0E0E11"/>
                <w:sz w:val="13"/>
                <w:szCs w:val="13"/>
              </w:rPr>
              <w:t xml:space="preserve">O2</w:t>
            </w:r>
          </w:p>
        </w:tc>
      </w:tr>
    </w:tbl>
    <w:p>
      <w:pPr>
        <w:spacing w:after="200" w:before="60"/>
      </w:pPr>
      <w:r>
        <w:rPr>
          <w:rFonts w:ascii="Arial" w:cs="Arial" w:eastAsia="Arial" w:hAnsi="Arial"/>
          <w:i/>
          <w:iCs/>
          <w:color w:val="666666"/>
          <w:sz w:val="15"/>
          <w:szCs w:val="15"/>
        </w:rPr>
        <w:t xml:space="preserve">Table A.1 — The 250-pathway modeling worklist. Totals: 28,164 clauses · 11,663 timing terms · 4,238 conditional terms · 7,285 LOINC, 315 CPT, 648 SNOMED CT, and 2,340 ICD-10-CM candidate records.</w:t>
      </w:r>
    </w:p>
    <w:p>
      <w:pPr>
        <w:sectPr>
          <w:headerReference w:type="default" r:id="rId13"/>
          <w:footerReference w:type="default" r:id="rId14"/>
          <w:pgSz w:w="15840" w:h="12240" w:orient="landscape"/>
          <w:pgMar w:top="900" w:right="720" w:bottom="900" w:left="720" w:header="480" w:footer="480" w:gutter="0"/>
          <w:pgNumType/>
          <w:docGrid w:linePitch="360"/>
        </w:sectPr>
      </w:pPr>
    </w:p>
    <w:p>
      <w:pPr>
        <w:keepNext/>
        <w:spacing w:after="160" w:before="400"/>
      </w:pPr>
      <w:r>
        <w:rPr>
          <w:rFonts w:ascii="Arial" w:cs="Arial" w:eastAsia="Arial" w:hAnsi="Arial"/>
          <w:b/>
          <w:bCs/>
          <w:color w:val="9B1B30"/>
          <w:sz w:val="38"/>
          <w:szCs w:val="38"/>
        </w:rPr>
        <w:t xml:space="preserve">Appendix B — Catalog distribution</w:t>
      </w:r>
    </w:p>
    <w:p>
      <w:pPr>
        <w:keepNext/>
        <w:spacing w:after="120" w:before="320"/>
      </w:pPr>
      <w:r>
        <w:rPr>
          <w:rFonts w:ascii="Arial" w:cs="Arial" w:eastAsia="Arial" w:hAnsi="Arial"/>
          <w:b/>
          <w:bCs/>
          <w:color w:val="9B1B30"/>
          <w:sz w:val="32"/>
          <w:szCs w:val="32"/>
        </w:rPr>
        <w:t xml:space="preserve">B.1 By service line</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3200"/>
        <w:gridCol w:w="1480"/>
        <w:gridCol w:w="3200"/>
        <w:gridCol w:w="1480"/>
      </w:tblGrid>
      <w:tr>
        <w:trPr>
          <w:tblHeader/>
        </w:trPr>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Service line</w:t>
            </w:r>
          </w:p>
        </w:tc>
        <w:tc>
          <w:tcPr>
            <w:tcW w:type="dxa" w:w="14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Pathways</w:t>
            </w:r>
          </w:p>
        </w:tc>
        <w:tc>
          <w:tcPr>
            <w:tcW w:type="dxa" w:w="32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Service line</w:t>
            </w:r>
          </w:p>
        </w:tc>
        <w:tc>
          <w:tcPr>
            <w:tcW w:type="dxa" w:w="148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Pathways</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RTDC / Medical Capacity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53</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Hepatology / Hepatobiliary 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Perioperative / Surgical</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39</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Trauma / Acute Care Surgery</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Orthopedics / Musculoskeletal Medicine</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29</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Otolaryngology / Head &amp; Neck 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Critical Care</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14</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Hematology / Oncology</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Neurology / Neurosurgery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13</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Wound Care / Plastic or Breast 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4</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Cardiology / Cardiovascular Surgery</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11</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Urology</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3</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Gastroenterology / General 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9</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Neonatal / Newborn</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Behavioral Health</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7</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Hematology</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Obstetrics</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Endocrinology / Endocrine 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Nursing / Med-Surg</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Gynecology / Gynecologic Oncology</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w:t>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Infectious Diseases / Surgery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Hospital Medicine / Care Transitions</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w:t>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Critical Care / Perioperative</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Urology / Nephrology</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
            </w:r>
          </w:p>
        </w:tc>
      </w:tr>
      <w:tr>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Emergency Department</w:t>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w:t>
            </w:r>
          </w:p>
        </w:tc>
        <w:tc>
          <w:tcPr>
            <w:tcW w:type="dxa" w:w="32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
            </w:r>
          </w:p>
        </w:tc>
        <w:tc>
          <w:tcPr>
            <w:tcW w:type="dxa" w:w="148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
            </w:r>
          </w:p>
        </w:tc>
      </w:tr>
      <w:tr>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Pulmonary / Critical Care</w:t>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5</w:t>
            </w:r>
          </w:p>
        </w:tc>
        <w:tc>
          <w:tcPr>
            <w:tcW w:type="dxa" w:w="32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
            </w:r>
          </w:p>
        </w:tc>
        <w:tc>
          <w:tcPr>
            <w:tcW w:type="dxa" w:w="148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
            </w:r>
          </w:p>
        </w:tc>
      </w:tr>
    </w:tbl>
    <w:p>
      <w:pPr>
        <w:spacing w:after="200" w:before="60"/>
      </w:pPr>
      <w:r>
        <w:rPr>
          <w:rFonts w:ascii="Arial" w:cs="Arial" w:eastAsia="Arial" w:hAnsi="Arial"/>
          <w:i/>
          <w:iCs/>
          <w:color w:val="666666"/>
          <w:sz w:val="15"/>
          <w:szCs w:val="15"/>
        </w:rPr>
        <w:t xml:space="preserve">Table B.1 — Service-line distribution across the 250 pathways.</w:t>
      </w:r>
    </w:p>
    <w:p>
      <w:pPr>
        <w:keepNext/>
        <w:spacing w:after="120" w:before="320"/>
      </w:pPr>
      <w:r>
        <w:rPr>
          <w:rFonts w:ascii="Arial" w:cs="Arial" w:eastAsia="Arial" w:hAnsi="Arial"/>
          <w:b/>
          <w:bCs/>
          <w:color w:val="9B1B30"/>
          <w:sz w:val="32"/>
          <w:szCs w:val="32"/>
        </w:rPr>
        <w:t xml:space="preserve">B.2 Pathways with no candidate code in a system</w:t>
      </w:r>
    </w:p>
    <w:p>
      <w:pPr>
        <w:keepNext w:val="false"/>
        <w:spacing w:after="120" w:before="0" w:line="276"/>
        <w:jc w:val="left"/>
      </w:pPr>
      <w:r>
        <w:rPr>
          <w:rFonts w:ascii="Arial" w:cs="Arial" w:eastAsia="Arial" w:hAnsi="Arial"/>
          <w:b w:val="false"/>
          <w:bCs w:val="false"/>
          <w:i w:val="false"/>
          <w:iCs w:val="false"/>
          <w:color w:val="0E0E11"/>
          <w:sz w:val="22"/>
          <w:szCs w:val="22"/>
        </w:rPr>
        <w:t xml:space="preserve">A blank candidate list is a signal for review, not evidence that no relevant code exists.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1500"/>
        <w:gridCol w:w="2400"/>
        <w:gridCol w:w="1700"/>
        <w:gridCol w:w="3760"/>
      </w:tblGrid>
      <w:tr>
        <w:trPr>
          <w:tblHeader/>
        </w:trPr>
        <w:tc>
          <w:tcPr>
            <w:tcW w:type="dxa" w:w="15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System</w:t>
            </w:r>
          </w:p>
        </w:tc>
        <w:tc>
          <w:tcPr>
            <w:tcW w:type="dxa" w:w="24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Pathways with candidates</w:t>
            </w:r>
          </w:p>
        </w:tc>
        <w:tc>
          <w:tcPr>
            <w:tcW w:type="dxa" w:w="1700"/>
            <w:shd w:fill="1A1A2E" w:color="auto" w:val="clear"/>
            <w:tcMar>
              <w:top w:type="dxa" w:w="70"/>
              <w:left w:type="dxa" w:w="90"/>
              <w:bottom w:type="dxa" w:w="70"/>
              <w:right w:type="dxa" w:w="90"/>
            </w:tcMar>
            <w:vAlign w:val="center"/>
          </w:tcPr>
          <w:p>
            <w:pPr>
              <w:spacing w:after="0" w:before="0" w:line="240"/>
              <w:jc w:val="right"/>
            </w:pPr>
            <w:r>
              <w:rPr>
                <w:rFonts w:ascii="Arial" w:cs="Arial" w:eastAsia="Arial" w:hAnsi="Arial"/>
                <w:b/>
                <w:bCs/>
                <w:color w:val="FFFFFF"/>
                <w:sz w:val="16"/>
                <w:szCs w:val="16"/>
              </w:rPr>
              <w:t xml:space="preserve">Pathways without</w:t>
            </w:r>
          </w:p>
        </w:tc>
        <w:tc>
          <w:tcPr>
            <w:tcW w:type="dxa" w:w="37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Implication</w:t>
            </w:r>
          </w:p>
        </w:tc>
      </w:tr>
      <w:tr>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LOINC</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250</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0</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Every pathway has at least one candidate order or result concept</w:t>
            </w:r>
          </w:p>
        </w:tc>
      </w:tr>
      <w:tr>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CPT</w:t>
            </w:r>
          </w:p>
        </w:tc>
        <w:tc>
          <w:tcPr>
            <w:tcW w:type="dxa" w:w="24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41</w:t>
            </w:r>
          </w:p>
        </w:tc>
        <w:tc>
          <w:tcPr>
            <w:tcW w:type="dxa" w:w="17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209</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Most procedural pathways need a local procedure binding</w:t>
            </w:r>
          </w:p>
        </w:tc>
      </w:tr>
      <w:tr>
        <w:tc>
          <w:tcPr>
            <w:tcW w:type="dxa" w:w="15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SNOMED CT</w:t>
            </w:r>
          </w:p>
        </w:tc>
        <w:tc>
          <w:tcPr>
            <w:tcW w:type="dxa" w:w="24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107</w:t>
            </w:r>
          </w:p>
        </w:tc>
        <w:tc>
          <w:tcPr>
            <w:tcW w:type="dxa" w:w="1700"/>
            <w:shd w:fill="FFFFFF"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143</w:t>
            </w:r>
          </w:p>
        </w:tc>
        <w:tc>
          <w:tcPr>
            <w:tcW w:type="dxa" w:w="37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Clinical-concept matching is sparse; local concepts likely required</w:t>
            </w:r>
          </w:p>
        </w:tc>
      </w:tr>
      <w:tr>
        <w:tc>
          <w:tcPr>
            <w:tcW w:type="dxa" w:w="15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ICD-10-CM</w:t>
            </w:r>
          </w:p>
        </w:tc>
        <w:tc>
          <w:tcPr>
            <w:tcW w:type="dxa" w:w="24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67</w:t>
            </w:r>
          </w:p>
        </w:tc>
        <w:tc>
          <w:tcPr>
            <w:tcW w:type="dxa" w:w="1700"/>
            <w:shd w:fill="F5F5F5" w:color="auto" w:val="clear"/>
            <w:tcMar>
              <w:top w:type="dxa" w:w="60"/>
              <w:left w:type="dxa" w:w="90"/>
              <w:bottom w:type="dxa" w:w="60"/>
              <w:right w:type="dxa" w:w="90"/>
            </w:tcMar>
            <w:vAlign w:val="center"/>
          </w:tcPr>
          <w:p>
            <w:pPr>
              <w:spacing w:after="0" w:before="0" w:line="240"/>
              <w:jc w:val="right"/>
            </w:pPr>
            <w:r>
              <w:rPr>
                <w:rFonts w:ascii="Arial" w:cs="Arial" w:eastAsia="Arial" w:hAnsi="Arial"/>
                <w:color w:val="0E0E11"/>
                <w:sz w:val="15"/>
                <w:szCs w:val="15"/>
              </w:rPr>
              <w:t xml:space="preserve">183</w:t>
            </w:r>
          </w:p>
        </w:tc>
        <w:tc>
          <w:tcPr>
            <w:tcW w:type="dxa" w:w="37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Applicability cannot rest on diagnosis coding for most pathways</w:t>
            </w:r>
          </w:p>
        </w:tc>
      </w:tr>
    </w:tbl>
    <w:p>
      <w:pPr>
        <w:spacing w:after="200" w:before="60"/>
      </w:pPr>
      <w:r>
        <w:rPr>
          <w:rFonts w:ascii="Arial" w:cs="Arial" w:eastAsia="Arial" w:hAnsi="Arial"/>
          <w:i/>
          <w:iCs/>
          <w:color w:val="666666"/>
          <w:sz w:val="15"/>
          <w:szCs w:val="15"/>
        </w:rPr>
        <w:t xml:space="preserve">Table B.2 — Candidate availability by terminology system.</w:t>
      </w:r>
    </w:p>
    <w:p>
      <w:pPr>
        <w:keepNext/>
        <w:spacing w:after="160" w:before="400"/>
      </w:pPr>
      <w:r>
        <w:rPr>
          <w:rFonts w:ascii="Arial" w:cs="Arial" w:eastAsia="Arial" w:hAnsi="Arial"/>
          <w:b/>
          <w:bCs/>
          <w:color w:val="9B1B30"/>
          <w:sz w:val="38"/>
          <w:szCs w:val="38"/>
        </w:rPr>
        <w:t xml:space="preserve">Appendix C — Research standards and interoperability references</w:t>
      </w:r>
    </w:p>
    <w:p>
      <w:pPr>
        <w:keepNext w:val="false"/>
        <w:spacing w:after="120" w:before="0" w:line="276"/>
        <w:jc w:val="left"/>
      </w:pPr>
      <w:r>
        <w:rPr>
          <w:rFonts w:ascii="Arial" w:cs="Arial" w:eastAsia="Arial" w:hAnsi="Arial"/>
          <w:b w:val="false"/>
          <w:bCs w:val="false"/>
          <w:i w:val="false"/>
          <w:iCs w:val="false"/>
          <w:color w:val="0E0E11"/>
          <w:sz w:val="22"/>
          <w:szCs w:val="22"/>
        </w:rPr>
        <w:t xml:space="preserve">The design in this specification is grounded in the following published standards and guidance.</w:t>
      </w:r>
    </w:p>
    <w:p>
      <w:pPr>
        <w:keepNext/>
        <w:spacing w:after="100" w:before="240"/>
      </w:pPr>
      <w:r>
        <w:rPr>
          <w:rFonts w:ascii="Arial" w:cs="Arial" w:eastAsia="Arial" w:hAnsi="Arial"/>
          <w:b/>
          <w:bCs/>
          <w:color w:val="0E0E11"/>
          <w:sz w:val="26"/>
          <w:szCs w:val="26"/>
        </w:rPr>
        <w:t xml:space="preserve">Process and event standards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OCEL 2.0 standard and specification — ocel-standard.org</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Systematic review of conformance checking in healthcare — PubMed 35525401</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Care-pathway process-mining review — PMC8851723</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Object-centric alignments — arXiv:2305.05113</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Synchronisation in object-centric alignments — arXiv:2312.08537</w:t>
      </w:r>
    </w:p>
    <w:p>
      <w:pPr>
        <w:keepNext/>
        <w:spacing w:after="100" w:before="240"/>
      </w:pPr>
      <w:r>
        <w:rPr>
          <w:rFonts w:ascii="Arial" w:cs="Arial" w:eastAsia="Arial" w:hAnsi="Arial"/>
          <w:b/>
          <w:bCs/>
          <w:color w:val="0E0E11"/>
          <w:sz w:val="26"/>
          <w:szCs w:val="26"/>
        </w:rPr>
        <w:t xml:space="preserve">Clinical knowledge and interoperability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HL7 Clinical Practice Guidelines Implementation Guide — hl7.org/fhir/uv/cpg/</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HL7 CPG methodology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FHIR PlanDefinition</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FHIR Quality Measure Implementation Guide (STU1)</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QI-Core Implementation Guide (STU7.0.1)</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FHIR MeasureReport, ServiceRequest, Task, Schedule, Provenance</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FHIR Bulk Data Access</w:t>
      </w:r>
    </w:p>
    <w:p>
      <w:pPr>
        <w:keepNext/>
        <w:spacing w:after="100" w:before="240"/>
      </w:pPr>
      <w:r>
        <w:rPr>
          <w:rFonts w:ascii="Arial" w:cs="Arial" w:eastAsia="Arial" w:hAnsi="Arial"/>
          <w:b/>
          <w:bCs/>
          <w:color w:val="0E0E11"/>
          <w:sz w:val="26"/>
          <w:szCs w:val="26"/>
        </w:rPr>
        <w:t xml:space="preserve">Measurement, safety, and data quality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CMS measure evaluation criteria, reliability, and validity guidance — mmshub.cms.gov</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AHRQ root-cause analysis primer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AHRQ systems approach primer</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AHRQ Common Formats and Network of Patient Safety Databases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AHRQ Patient Safety Indicator technical specifications</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Harmonized data quality framework (Kahn et al.) — PMC5051581</w:t>
      </w:r>
    </w:p>
    <w:p>
      <w:pPr>
        <w:keepNext/>
        <w:spacing w:after="100" w:before="240"/>
      </w:pPr>
      <w:r>
        <w:rPr>
          <w:rFonts w:ascii="Arial" w:cs="Arial" w:eastAsia="Arial" w:hAnsi="Arial"/>
          <w:b/>
          <w:bCs/>
          <w:color w:val="0E0E11"/>
          <w:sz w:val="26"/>
          <w:szCs w:val="26"/>
        </w:rPr>
        <w:t xml:space="preserve">Terminology</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LOINC — loinc.org</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SNOMED CT logical model — SNOMED CT Starter Guide §5</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CDC ICD-10-CM</w:t>
      </w:r>
    </w:p>
    <w:p>
      <w:pPr>
        <w:pStyle w:val="ListParagraph"/>
        <w:numPr>
          <w:ilvl w:val="0"/>
          <w:numId w:val="1"/>
        </w:numPr>
        <w:spacing w:after="60" w:before="20" w:line="276"/>
        <w:ind w:left="360" w:hanging="216"/>
      </w:pPr>
      <w:r>
        <w:rPr>
          <w:rFonts w:ascii="Arial" w:cs="Arial" w:eastAsia="Arial" w:hAnsi="Arial"/>
          <w:color w:val="0E0E11"/>
          <w:sz w:val="22"/>
          <w:szCs w:val="22"/>
        </w:rPr>
        <w:t xml:space="preserve">CMS OPPS quarterly addenda updates</w:t>
      </w:r>
    </w:p>
    <w:p>
      <w:pPr>
        <w:keepNext/>
        <w:spacing w:after="160" w:before="400"/>
      </w:pPr>
      <w:r>
        <w:rPr>
          <w:rFonts w:ascii="Arial" w:cs="Arial" w:eastAsia="Arial" w:hAnsi="Arial"/>
          <w:b/>
          <w:bCs/>
          <w:color w:val="9B1B30"/>
          <w:sz w:val="38"/>
          <w:szCs w:val="38"/>
        </w:rPr>
        <w:t xml:space="preserve">Appendix D — Glossary of program terms</w:t>
      </w:r>
    </w:p>
    <w:tbl>
      <w:tblPr>
        <w:tblW w:type="dxa" w:w="9360"/>
        <w:tblBorders>
          <w:top w:val="single" w:color="D5D5D8" w:sz="2"/>
          <w:left w:val="single" w:color="D5D5D8" w:sz="2"/>
          <w:bottom w:val="single" w:color="D5D5D8" w:sz="2"/>
          <w:right w:val="single" w:color="D5D5D8" w:sz="2"/>
          <w:insideH w:val="single" w:color="D5D5D8" w:sz="2"/>
          <w:insideV w:val="single" w:color="D5D5D8" w:sz="2"/>
        </w:tblBorders>
      </w:tblPr>
      <w:tblGrid>
        <w:gridCol w:w="2400"/>
        <w:gridCol w:w="6960"/>
      </w:tblGrid>
      <w:tr>
        <w:trPr>
          <w:tblHeader/>
        </w:trPr>
        <w:tc>
          <w:tcPr>
            <w:tcW w:type="dxa" w:w="240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Term</w:t>
            </w:r>
          </w:p>
        </w:tc>
        <w:tc>
          <w:tcPr>
            <w:tcW w:type="dxa" w:w="6960"/>
            <w:shd w:fill="1A1A2E" w:color="auto" w:val="clear"/>
            <w:tcMar>
              <w:top w:type="dxa" w:w="70"/>
              <w:left w:type="dxa" w:w="90"/>
              <w:bottom w:type="dxa" w:w="70"/>
              <w:right w:type="dxa" w:w="90"/>
            </w:tcMar>
            <w:vAlign w:val="center"/>
          </w:tcPr>
          <w:p>
            <w:pPr>
              <w:spacing w:after="0" w:before="0" w:line="240"/>
              <w:jc w:val="left"/>
            </w:pPr>
            <w:r>
              <w:rPr>
                <w:rFonts w:ascii="Arial" w:cs="Arial" w:eastAsia="Arial" w:hAnsi="Arial"/>
                <w:b/>
                <w:bCs/>
                <w:color w:val="FFFFFF"/>
                <w:sz w:val="16"/>
                <w:szCs w:val="16"/>
              </w:rPr>
              <w:t xml:space="preserve">Definition as used in this document</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Anchor</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named event from which a temporal constraint is measured</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Applicability</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Whether an approved pathway, branch, or step applies to a specific patient at a specific time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Binding</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approved mapping from an expected observation to local source data, including code system, version, field, status, and timestamp role</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Binding set</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versioned, digested collection of approved binding members, versioned independently of clinical content</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Candidate (terminology)</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source-verified code that has not yet passed coding and clinical applicability review</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Coverage</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Proven observability of a required evidence family for a specific measure and run</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Deficiency</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defined, applicable expectation that was missing, late, out of order, incomplete, unapproved-substituted, reworked, or unresolved</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Definition version</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 immutable, digested pathway package; later change creates a new version</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Deviation</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 observed difference between expectation and observation — never, by itself, an error</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Gold case</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chart-reviewed patient case with adjudicated expected results, used to evaluate measure performance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Lane</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governed release disposition: signoff, specialist review, or redesign / non-protocol</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Measurement run</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One evaluation of one pathway instance under a fully specified reproducibility key</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Pathway instance</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 confirmed, version-pinned application of a pathway to one patient episode</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Pinning</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Binding a patient instance to one immutable definition version and digest at confirmation</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Projection</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Either (a) the transformation of source records into OCEL, or (b) a governed, audience-specific view of approved content — the sense is stated wherever ambiguous</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Safety screen</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An approved detection signal that enters governed review; not a finding of harm or error</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Shadow mode</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Full computation with no alerts, scorecards, or care consequence, used for validation</w:t>
            </w:r>
          </w:p>
        </w:tc>
      </w:tr>
      <w:tr>
        <w:tc>
          <w:tcPr>
            <w:tcW w:type="dxa" w:w="240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Signed variance</w:t>
            </w:r>
          </w:p>
        </w:tc>
        <w:tc>
          <w:tcPr>
            <w:tcW w:type="dxa" w:w="6960"/>
            <w:shd w:fill="F5F5F5"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Elapsed time minus the violated bound, negative for early and positive for late</w:t>
            </w:r>
          </w:p>
        </w:tc>
      </w:tr>
      <w:tr>
        <w:tc>
          <w:tcPr>
            <w:tcW w:type="dxa" w:w="240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Supersession</w:t>
            </w:r>
          </w:p>
        </w:tc>
        <w:tc>
          <w:tcPr>
            <w:tcW w:type="dxa" w:w="6960"/>
            <w:shd w:fill="FFFFFF" w:color="auto" w:val="clear"/>
            <w:tcMar>
              <w:top w:type="dxa" w:w="60"/>
              <w:left w:type="dxa" w:w="90"/>
              <w:bottom w:type="dxa" w:w="60"/>
              <w:right w:type="dxa" w:w="90"/>
            </w:tcMar>
            <w:vAlign w:val="center"/>
          </w:tcPr>
          <w:p>
            <w:pPr>
              <w:spacing w:after="0" w:before="0" w:line="240"/>
              <w:jc w:val="left"/>
            </w:pPr>
            <w:r>
              <w:rPr>
                <w:rFonts w:ascii="Arial" w:cs="Arial" w:eastAsia="Arial" w:hAnsi="Arial"/>
                <w:color w:val="0E0E11"/>
                <w:sz w:val="15"/>
                <w:szCs w:val="15"/>
              </w:rPr>
              <w:t xml:space="preserve">The append-only replacement of a prior measurement run by a later one, preserving both</w:t>
            </w:r>
          </w:p>
        </w:tc>
      </w:tr>
    </w:tbl>
    <w:sectPr>
      <w:headerReference w:type="default" r:id="rId15"/>
      <w:footerReference w:type="default" r:id="rId16"/>
      <w:pgSz w:w="12240" w:h="15840" w:orient="portrait"/>
      <w:pgMar w:top="1260" w:right="1440" w:bottom="1260" w:left="144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8" w:sz="4" w:space="4"/>
      </w:pBdr>
      <w:tabs>
        <w:tab w:val="right" w:pos="9360"/>
      </w:tabs>
      <w:spacing w:before="40"/>
    </w:pPr>
    <w:r>
      <w:rPr>
        <w:rFonts w:ascii="Arial" w:cs="Arial" w:eastAsia="Arial" w:hAnsi="Arial"/>
        <w:color w:val="666666"/>
        <w:sz w:val="15"/>
        <w:szCs w:val="15"/>
      </w:rPr>
      <w:t xml:space="preserve">Confidential  |  © 2026 Acumenus, Inc.</w:t>
    </w:r>
    <w:r>
      <w:rPr>
        <w:rFonts w:ascii="Arial" w:cs="Arial" w:eastAsia="Arial" w:hAnsi="Arial"/>
        <w:color w:val="666666"/>
        <w:sz w:val="15"/>
        <w:szCs w:val="15"/>
      </w:rPr>
      <w:t xml:space="preserve">	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8" w:sz="4" w:space="4"/>
      </w:pBdr>
      <w:tabs>
        <w:tab w:val="right" w:pos="14400"/>
      </w:tabs>
      <w:spacing w:before="40"/>
    </w:pPr>
    <w:r>
      <w:rPr>
        <w:rFonts w:ascii="Arial" w:cs="Arial" w:eastAsia="Arial" w:hAnsi="Arial"/>
        <w:color w:val="666666"/>
        <w:sz w:val="15"/>
        <w:szCs w:val="15"/>
      </w:rPr>
      <w:t xml:space="preserve">Confidential  |  © 2026 Acumenus, Inc.</w:t>
    </w:r>
    <w:r>
      <w:rPr>
        <w:rFonts w:ascii="Arial" w:cs="Arial" w:eastAsia="Arial" w:hAnsi="Arial"/>
        <w:color w:val="666666"/>
        <w:sz w:val="15"/>
        <w:szCs w:val="15"/>
      </w:rPr>
      <w:t xml:space="preserve">	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5D8" w:sz="4" w:space="4"/>
      </w:pBdr>
      <w:tabs>
        <w:tab w:val="right" w:pos="9360"/>
      </w:tabs>
      <w:spacing w:before="40"/>
    </w:pPr>
    <w:r>
      <w:rPr>
        <w:rFonts w:ascii="Arial" w:cs="Arial" w:eastAsia="Arial" w:hAnsi="Arial"/>
        <w:color w:val="666666"/>
        <w:sz w:val="15"/>
        <w:szCs w:val="15"/>
      </w:rPr>
      <w:t xml:space="preserve">Confidential  |  © 2026 Acumenus, Inc.</w:t>
    </w:r>
    <w:r>
      <w:rPr>
        <w:rFonts w:ascii="Arial" w:cs="Arial" w:eastAsia="Arial" w:hAnsi="Arial"/>
        <w:color w:val="666666"/>
        <w:sz w:val="15"/>
        <w:szCs w:val="15"/>
      </w:rPr>
      <w:t xml:space="preserve">	Page </w:t>
    </w:r>
    <w:r>
      <w:rPr>
        <w:rFonts w:ascii="Arial" w:cs="Arial" w:eastAsia="Arial" w:hAnsi="Arial"/>
        <w:color w:val="666666"/>
        <w:sz w:val="15"/>
        <w:szCs w:val="15"/>
      </w:rPr>
      <w:fldChar w:fldCharType="begin"/>
      <w:instrText xml:space="preserve">PAGE</w:instrText>
      <w:fldChar w:fldCharType="separate"/>
      <w:fldChar w:fldCharType="end"/>
    </w:r>
    <w:r>
      <w:rPr>
        <w:rFonts w:ascii="Arial" w:cs="Arial" w:eastAsia="Arial" w:hAnsi="Arial"/>
        <w:color w:val="666666"/>
        <w:sz w:val="15"/>
        <w:szCs w:val="15"/>
      </w:rPr>
      <w:t xml:space="preserve"> of </w:t>
    </w:r>
    <w:r>
      <w:rPr>
        <w:rFonts w:ascii="Arial" w:cs="Arial" w:eastAsia="Arial" w:hAnsi="Arial"/>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6" w:space="3"/>
      </w:pBdr>
      <w:tabs>
        <w:tab w:val="right" w:pos="9360"/>
      </w:tabs>
      <w:spacing w:after="40"/>
    </w:pPr>
    <w:r>
      <w:rPr>
        <w:rFonts w:ascii="Arial" w:cs="Arial" w:eastAsia="Arial" w:hAnsi="Arial"/>
        <w:b/>
        <w:bCs/>
        <w:color w:val="9B1B30"/>
        <w:spacing w:val="80"/>
        <w:sz w:val="16"/>
        <w:szCs w:val="16"/>
      </w:rPr>
      <w:t xml:space="preserve">ACUMENUS</w:t>
    </w:r>
    <w:r>
      <w:rPr>
        <w:rFonts w:ascii="Arial" w:cs="Arial" w:eastAsia="Arial" w:hAnsi="Arial"/>
        <w:color w:val="666666"/>
        <w:sz w:val="15"/>
        <w:szCs w:val="15"/>
      </w:rPr>
      <w:t xml:space="preserve">	OCEL Care-Pathway Program  |  ACUM-ENG-OCEL-002</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6" w:space="3"/>
      </w:pBdr>
      <w:tabs>
        <w:tab w:val="right" w:pos="14400"/>
      </w:tabs>
      <w:spacing w:after="40"/>
    </w:pPr>
    <w:r>
      <w:rPr>
        <w:rFonts w:ascii="Arial" w:cs="Arial" w:eastAsia="Arial" w:hAnsi="Arial"/>
        <w:b/>
        <w:bCs/>
        <w:color w:val="9B1B30"/>
        <w:spacing w:val="80"/>
        <w:sz w:val="16"/>
        <w:szCs w:val="16"/>
      </w:rPr>
      <w:t xml:space="preserve">ACUMENUS</w:t>
    </w:r>
    <w:r>
      <w:rPr>
        <w:rFonts w:ascii="Arial" w:cs="Arial" w:eastAsia="Arial" w:hAnsi="Arial"/>
        <w:color w:val="666666"/>
        <w:sz w:val="15"/>
        <w:szCs w:val="15"/>
      </w:rPr>
      <w:t xml:space="preserve">	OCEL Care-Pathway Program  |  ACUM-ENG-OCEL-002</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1B30" w:sz="6" w:space="3"/>
      </w:pBdr>
      <w:tabs>
        <w:tab w:val="right" w:pos="9360"/>
      </w:tabs>
      <w:spacing w:after="40"/>
    </w:pPr>
    <w:r>
      <w:rPr>
        <w:rFonts w:ascii="Arial" w:cs="Arial" w:eastAsia="Arial" w:hAnsi="Arial"/>
        <w:b/>
        <w:bCs/>
        <w:color w:val="9B1B30"/>
        <w:spacing w:val="80"/>
        <w:sz w:val="16"/>
        <w:szCs w:val="16"/>
      </w:rPr>
      <w:t xml:space="preserve">ACUMENUS</w:t>
    </w:r>
    <w:r>
      <w:rPr>
        <w:rFonts w:ascii="Arial" w:cs="Arial" w:eastAsia="Arial" w:hAnsi="Arial"/>
        <w:color w:val="666666"/>
        <w:sz w:val="15"/>
        <w:szCs w:val="15"/>
      </w:rPr>
      <w:t xml:space="preserve">	OCEL Care-Pathway Program  |  ACUM-ENG-OCEL-002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00" w:hanging="260"/>
      </w:pPr>
      <w:rPr>
        <w:rFonts w:ascii="Arial" w:cs="Arial" w:eastAsia="Arial" w:hAnsi="Arial"/>
        <w:color w:val="0E0E11"/>
        <w:sz w:val="22"/>
        <w:szCs w:val="22"/>
      </w:rPr>
    </w:lvl>
    <w:lvl w:ilvl="1" w15:tentative="1">
      <w:start w:val="1"/>
      <w:numFmt w:val="lowerLetter"/>
      <w:lvlText w:val="%2."/>
      <w:lvlJc w:val="start"/>
      <w:pPr>
        <w:ind w:left="720" w:hanging="260"/>
      </w:pPr>
      <w:rPr>
        <w:rFonts w:ascii="Arial" w:cs="Arial" w:eastAsia="Arial" w:hAnsi="Arial"/>
        <w:color w:val="0E0E11"/>
        <w:sz w:val="22"/>
        <w:szCs w:val="22"/>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E0E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1780e308c9bd2af2e131737dad797038b3ae0e45.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OCEL Care-Pathway Modeling &amp; Measurement Program</dc:title>
  <dc:creator>Acumenus, Inc.</dc:creator>
  <dc:description>Target architecture, measurement design, validation plan, and implementation backlog for 250 individual care pathways</dc:description>
  <cp:lastModifiedBy>Un-named</cp:lastModifiedBy>
  <cp:revision>1</cp:revision>
  <dcterms:created xsi:type="dcterms:W3CDTF">2026-07-25T00:36:21.224Z</dcterms:created>
  <dcterms:modified xsi:type="dcterms:W3CDTF">2026-07-25T00:36:21.224Z</dcterms:modified>
</cp:coreProperties>
</file>

<file path=docProps/custom.xml><?xml version="1.0" encoding="utf-8"?>
<Properties xmlns="http://schemas.openxmlformats.org/officeDocument/2006/custom-properties" xmlns:vt="http://schemas.openxmlformats.org/officeDocument/2006/docPropsVTypes"/>
</file>