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w:rPr>
          <w:rFonts w:hint="eastAsia" w:cs="隶书"/>
        </w:rPr>
        <w:t>清</w:t>
      </w:r>
      <w:r>
        <w:t xml:space="preserve"> </w:t>
      </w:r>
      <w:r>
        <w:rPr>
          <w:rFonts w:hint="eastAsia" w:cs="隶书"/>
        </w:rPr>
        <w:t>华</w:t>
      </w:r>
      <w:r>
        <w:t xml:space="preserve"> </w:t>
      </w:r>
      <w:r>
        <w:rPr>
          <w:rFonts w:hint="eastAsia" w:cs="隶书"/>
        </w:rPr>
        <w:t>大</w:t>
      </w:r>
      <w:r>
        <w:t xml:space="preserve"> </w:t>
      </w:r>
      <w:r>
        <w:rPr>
          <w:rFonts w:hint="eastAsia" w:cs="隶书"/>
        </w:rPr>
        <w:t>学</w:t>
      </w:r>
    </w:p>
    <w:p/>
    <w:p>
      <w:pPr>
        <w:pStyle w:val="12"/>
      </w:pPr>
      <w:r>
        <w:rPr>
          <w:rFonts w:hint="eastAsia" w:cs="黑体"/>
        </w:rPr>
        <w:t>综</w:t>
      </w:r>
      <w:r>
        <w:t xml:space="preserve"> </w:t>
      </w:r>
      <w:r>
        <w:rPr>
          <w:rFonts w:hint="eastAsia" w:cs="黑体"/>
        </w:rPr>
        <w:t>合</w:t>
      </w:r>
      <w:r>
        <w:t xml:space="preserve"> </w:t>
      </w:r>
      <w:r>
        <w:rPr>
          <w:rFonts w:hint="eastAsia" w:cs="黑体"/>
        </w:rPr>
        <w:t>论</w:t>
      </w:r>
      <w:r>
        <w:t xml:space="preserve"> </w:t>
      </w:r>
      <w:r>
        <w:rPr>
          <w:rFonts w:hint="eastAsia" w:cs="黑体"/>
        </w:rPr>
        <w:t>文</w:t>
      </w:r>
      <w:r>
        <w:t xml:space="preserve"> </w:t>
      </w:r>
      <w:r>
        <w:rPr>
          <w:rFonts w:hint="eastAsia" w:cs="黑体"/>
        </w:rPr>
        <w:t>训</w:t>
      </w:r>
      <w:r>
        <w:t xml:space="preserve"> </w:t>
      </w:r>
      <w:r>
        <w:rPr>
          <w:rFonts w:hint="eastAsia" w:cs="黑体"/>
        </w:rPr>
        <w:t>练</w:t>
      </w:r>
    </w:p>
    <w:p/>
    <w:p/>
    <w:p/>
    <w:p>
      <w:pPr>
        <w:pStyle w:val="13"/>
        <w:ind w:left="1440" w:leftChars="50" w:hanging="1320" w:hangingChars="300"/>
        <w:jc w:val="left"/>
        <w:rPr>
          <w:u w:val="single"/>
        </w:rPr>
      </w:pPr>
      <w:r>
        <w:rPr>
          <w:rFonts w:hint="eastAsia" w:cs="黑体"/>
          <w:sz w:val="44"/>
        </w:rPr>
        <w:t>题目：</w:t>
      </w:r>
      <w:r>
        <w:rPr>
          <w:rFonts w:hint="eastAsia" w:cs="黑体"/>
          <w:u w:val="single"/>
          <w:lang w:val="en-US" w:eastAsia="zh-CN"/>
        </w:rPr>
        <w:t>基于压缩感知的频谱感知算法研究</w:t>
      </w:r>
    </w:p>
    <w:p/>
    <w:p/>
    <w:p/>
    <w:p>
      <w:pPr>
        <w:pStyle w:val="14"/>
        <w:rPr>
          <w:rFonts w:cs="Times New Roman"/>
        </w:rPr>
      </w:pPr>
      <w:r>
        <w:rPr>
          <w:rFonts w:hint="eastAsia" w:cs="仿宋_GB2312"/>
        </w:rPr>
        <w:t>系</w:t>
      </w:r>
      <w:r>
        <w:t xml:space="preserve">    </w:t>
      </w:r>
      <w:r>
        <w:rPr>
          <w:rFonts w:hint="eastAsia" w:cs="仿宋_GB2312"/>
        </w:rPr>
        <w:t>别：电子工程系</w:t>
      </w:r>
    </w:p>
    <w:p>
      <w:pPr>
        <w:pStyle w:val="14"/>
        <w:rPr>
          <w:rFonts w:cs="Times New Roman"/>
        </w:rPr>
      </w:pPr>
      <w:r>
        <w:rPr>
          <w:rFonts w:hint="eastAsia" w:cs="仿宋_GB2312"/>
        </w:rPr>
        <w:t>专</w:t>
      </w:r>
      <w:r>
        <w:t xml:space="preserve">    </w:t>
      </w:r>
      <w:r>
        <w:rPr>
          <w:rFonts w:hint="eastAsia" w:cs="仿宋_GB2312"/>
        </w:rPr>
        <w:t>业：电子信息科学与技术</w:t>
      </w:r>
    </w:p>
    <w:p>
      <w:pPr>
        <w:pStyle w:val="14"/>
        <w:rPr>
          <w:rFonts w:cs="Times New Roman"/>
        </w:rPr>
      </w:pPr>
      <w:r>
        <w:rPr>
          <w:rFonts w:hint="eastAsia" w:cs="仿宋_GB2312"/>
        </w:rPr>
        <w:t>姓</w:t>
      </w:r>
      <w:r>
        <w:t xml:space="preserve">    </w:t>
      </w:r>
      <w:r>
        <w:rPr>
          <w:rFonts w:hint="eastAsia" w:cs="仿宋_GB2312"/>
        </w:rPr>
        <w:t>名：</w:t>
      </w:r>
      <w:r>
        <w:rPr>
          <w:rFonts w:hint="eastAsia" w:cs="仿宋_GB2312"/>
          <w:lang w:val="en-US" w:eastAsia="zh-CN"/>
        </w:rPr>
        <w:t>沈睿哲</w:t>
      </w:r>
    </w:p>
    <w:p>
      <w:pPr>
        <w:pStyle w:val="14"/>
        <w:rPr>
          <w:rFonts w:cs="Times New Roman"/>
        </w:rPr>
      </w:pPr>
      <w:r>
        <w:rPr>
          <w:rFonts w:hint="eastAsia" w:cs="仿宋_GB2312"/>
        </w:rPr>
        <w:t>指导教师：</w:t>
      </w:r>
      <w:r>
        <w:rPr>
          <w:rFonts w:hint="eastAsia" w:cs="仿宋_GB2312"/>
          <w:lang w:val="en-US" w:eastAsia="zh-CN"/>
        </w:rPr>
        <w:t xml:space="preserve">王军 </w:t>
      </w:r>
    </w:p>
    <w:p/>
    <w:p>
      <w:pPr>
        <w:pStyle w:val="15"/>
        <w:rPr>
          <w:rFonts w:cs="宋体" w:asciiTheme="minorEastAsia" w:hAnsiTheme="minorEastAsia" w:eastAsiaTheme="minorEastAsia"/>
        </w:rPr>
      </w:pPr>
      <w:r>
        <w:rPr>
          <w:rFonts w:cs="宋体" w:asciiTheme="minorEastAsia" w:hAnsiTheme="minorEastAsia" w:eastAsiaTheme="minorEastAsia"/>
        </w:rPr>
        <w:t>201</w:t>
      </w:r>
      <w:r>
        <w:rPr>
          <w:rFonts w:hint="eastAsia" w:cs="宋体" w:asciiTheme="minorEastAsia" w:hAnsiTheme="minorEastAsia" w:eastAsiaTheme="minorEastAsia"/>
          <w:lang w:val="en-US" w:eastAsia="zh-CN"/>
        </w:rPr>
        <w:t>7</w:t>
      </w:r>
      <w:r>
        <w:rPr>
          <w:rFonts w:hint="eastAsia" w:cs="宋体" w:asciiTheme="minorEastAsia" w:hAnsiTheme="minorEastAsia" w:eastAsiaTheme="minorEastAsia"/>
        </w:rPr>
        <w:t>年</w:t>
      </w:r>
      <w:r>
        <w:rPr>
          <w:rFonts w:cs="宋体" w:asciiTheme="minorEastAsia" w:hAnsiTheme="minorEastAsia" w:eastAsiaTheme="minorEastAsia"/>
        </w:rPr>
        <w:t>5</w:t>
      </w:r>
      <w:r>
        <w:rPr>
          <w:rFonts w:hint="eastAsia" w:cs="宋体" w:asciiTheme="minorEastAsia" w:hAnsiTheme="minorEastAsia" w:eastAsiaTheme="minorEastAsia"/>
        </w:rPr>
        <w:t>月</w:t>
      </w:r>
      <w:r>
        <w:rPr>
          <w:rFonts w:hint="eastAsia" w:cs="宋体" w:asciiTheme="minorEastAsia" w:hAnsiTheme="minorEastAsia"/>
          <w:lang w:val="en-US" w:eastAsia="zh-CN"/>
        </w:rPr>
        <w:t>4</w:t>
      </w:r>
      <w:r>
        <w:rPr>
          <w:rFonts w:cs="宋体" w:asciiTheme="minorEastAsia" w:hAnsiTheme="minorEastAsia" w:eastAsiaTheme="minorEastAsia"/>
        </w:rPr>
        <w:t>6</w:t>
      </w:r>
      <w:r>
        <w:rPr>
          <w:rFonts w:hint="eastAsia" w:cs="宋体" w:asciiTheme="minorEastAsia" w:hAnsiTheme="minorEastAsia" w:eastAsiaTheme="minorEastAsia"/>
        </w:rPr>
        <w:t>日</w:t>
      </w:r>
    </w:p>
    <w:p>
      <w:pPr>
        <w:widowControl/>
        <w:snapToGrid w:val="0"/>
        <w:spacing w:before="800" w:after="400"/>
        <w:ind w:firstLine="0" w:firstLineChars="0"/>
        <w:jc w:val="center"/>
        <w:rPr>
          <w:rFonts w:ascii="黑体" w:eastAsia="黑体"/>
          <w:sz w:val="44"/>
          <w:szCs w:val="24"/>
        </w:rPr>
      </w:pPr>
      <w:r>
        <w:rPr>
          <w:rFonts w:cs="宋体" w:asciiTheme="minorEastAsia" w:hAnsiTheme="minorEastAsia"/>
        </w:rPr>
        <w:br w:type="page"/>
      </w:r>
      <w:r>
        <w:rPr>
          <w:rFonts w:hint="eastAsia" w:ascii="黑体" w:eastAsia="黑体"/>
          <w:sz w:val="44"/>
          <w:szCs w:val="24"/>
        </w:rPr>
        <w:t>关于学位论文使用授权的说明</w:t>
      </w:r>
    </w:p>
    <w:p>
      <w:pPr>
        <w:widowControl/>
        <w:snapToGrid w:val="0"/>
        <w:ind w:firstLine="454" w:firstLineChars="0"/>
        <w:jc w:val="left"/>
        <w:rPr>
          <w:szCs w:val="24"/>
        </w:rPr>
      </w:pPr>
      <w:r>
        <w:rPr>
          <w:rFonts w:hint="eastAsia"/>
          <w:szCs w:val="24"/>
        </w:rPr>
        <w:t>本人完全了解清华大学有关保留、使用学位论文的规定，即：学校有权保留学位论文的复印件，允许该论文被查阅和借阅；学校可以公布该论文的全部或部分内容，可以采用影印、缩印或其他复制手段保存该论文。</w:t>
      </w:r>
    </w:p>
    <w:p>
      <w:pPr>
        <w:widowControl/>
        <w:snapToGrid w:val="0"/>
        <w:ind w:firstLine="482" w:firstLineChars="0"/>
        <w:jc w:val="left"/>
        <w:rPr>
          <w:b/>
          <w:szCs w:val="24"/>
        </w:rPr>
      </w:pPr>
      <w:r>
        <w:rPr>
          <w:b/>
          <w:szCs w:val="24"/>
        </w:rPr>
        <w:t>(</w:t>
      </w:r>
      <w:r>
        <w:rPr>
          <w:rFonts w:hint="eastAsia"/>
          <w:b/>
          <w:szCs w:val="24"/>
        </w:rPr>
        <w:t>涉密的学位论文在解密后应遵守此规定</w:t>
      </w:r>
      <w:r>
        <w:rPr>
          <w:b/>
          <w:szCs w:val="24"/>
        </w:rPr>
        <w:t>)</w:t>
      </w:r>
    </w:p>
    <w:p>
      <w:pPr>
        <w:widowControl/>
        <w:snapToGrid w:val="0"/>
        <w:ind w:firstLine="454" w:firstLineChars="0"/>
        <w:jc w:val="left"/>
        <w:rPr>
          <w:szCs w:val="24"/>
        </w:rPr>
      </w:pPr>
    </w:p>
    <w:p>
      <w:pPr>
        <w:widowControl/>
        <w:snapToGrid w:val="0"/>
        <w:ind w:firstLine="0" w:firstLineChars="0"/>
        <w:jc w:val="center"/>
        <w:rPr>
          <w:sz w:val="26"/>
          <w:szCs w:val="24"/>
          <w:u w:val="single"/>
        </w:rPr>
      </w:pPr>
      <w:r>
        <w:rPr>
          <w:rFonts w:hint="eastAsia"/>
          <w:szCs w:val="24"/>
        </w:rPr>
        <w:t>签  名：</w:t>
      </w:r>
      <w:r>
        <w:rPr>
          <w:rFonts w:hint="eastAsia"/>
          <w:sz w:val="26"/>
          <w:szCs w:val="24"/>
          <w:u w:val="single"/>
        </w:rPr>
        <w:tab/>
      </w:r>
      <w:r>
        <w:rPr>
          <w:rFonts w:hint="eastAsia"/>
          <w:sz w:val="26"/>
          <w:szCs w:val="24"/>
          <w:u w:val="single"/>
        </w:rPr>
        <w:tab/>
      </w:r>
      <w:r>
        <w:rPr>
          <w:rFonts w:hint="eastAsia"/>
          <w:sz w:val="26"/>
          <w:szCs w:val="24"/>
          <w:u w:val="single"/>
        </w:rPr>
        <w:t xml:space="preserve">     </w:t>
      </w:r>
      <w:r>
        <w:rPr>
          <w:rFonts w:hint="eastAsia"/>
          <w:szCs w:val="24"/>
        </w:rPr>
        <w:t>导师签名：</w:t>
      </w:r>
      <w:r>
        <w:rPr>
          <w:rFonts w:hint="eastAsia"/>
          <w:sz w:val="26"/>
          <w:szCs w:val="24"/>
          <w:u w:val="single"/>
        </w:rPr>
        <w:tab/>
      </w:r>
      <w:r>
        <w:rPr>
          <w:rFonts w:hint="eastAsia"/>
          <w:sz w:val="26"/>
          <w:szCs w:val="24"/>
          <w:u w:val="single"/>
        </w:rPr>
        <w:tab/>
      </w:r>
      <w:r>
        <w:rPr>
          <w:rFonts w:hint="eastAsia"/>
          <w:sz w:val="26"/>
          <w:szCs w:val="24"/>
          <w:u w:val="single"/>
        </w:rPr>
        <w:tab/>
      </w:r>
      <w:r>
        <w:rPr>
          <w:rFonts w:hint="eastAsia"/>
          <w:sz w:val="26"/>
          <w:szCs w:val="24"/>
          <w:u w:val="single"/>
        </w:rPr>
        <w:t xml:space="preserve">     </w:t>
      </w:r>
      <w:r>
        <w:rPr>
          <w:rFonts w:hint="eastAsia"/>
          <w:szCs w:val="24"/>
        </w:rPr>
        <w:t>日  期：</w:t>
      </w:r>
      <w:r>
        <w:rPr>
          <w:rFonts w:hint="eastAsia"/>
          <w:sz w:val="26"/>
          <w:szCs w:val="24"/>
          <w:u w:val="single"/>
        </w:rPr>
        <w:tab/>
      </w:r>
      <w:r>
        <w:rPr>
          <w:rFonts w:hint="eastAsia"/>
          <w:sz w:val="26"/>
          <w:szCs w:val="24"/>
          <w:u w:val="single"/>
        </w:rPr>
        <w:t xml:space="preserve">    </w:t>
      </w:r>
      <w:r>
        <w:rPr>
          <w:rFonts w:hint="eastAsia"/>
          <w:sz w:val="26"/>
          <w:szCs w:val="24"/>
          <w:u w:val="single"/>
        </w:rPr>
        <w:tab/>
      </w:r>
      <w:r>
        <w:rPr>
          <w:rFonts w:hint="eastAsia"/>
          <w:sz w:val="26"/>
          <w:szCs w:val="24"/>
          <w:u w:val="single"/>
        </w:rPr>
        <w:t xml:space="preserve">  </w:t>
      </w:r>
    </w:p>
    <w:p>
      <w:pPr>
        <w:widowControl/>
        <w:snapToGrid w:val="0"/>
        <w:ind w:firstLine="0" w:firstLineChars="0"/>
        <w:jc w:val="center"/>
        <w:rPr>
          <w:sz w:val="26"/>
          <w:szCs w:val="24"/>
          <w:u w:val="single"/>
        </w:rPr>
      </w:pPr>
    </w:p>
    <w:p>
      <w:pPr>
        <w:widowControl/>
        <w:snapToGrid w:val="0"/>
        <w:ind w:firstLine="0" w:firstLineChars="0"/>
        <w:rPr>
          <w:sz w:val="26"/>
          <w:szCs w:val="24"/>
          <w:u w:val="single"/>
        </w:rPr>
      </w:pPr>
    </w:p>
    <w:p>
      <w:pPr>
        <w:widowControl/>
        <w:snapToGrid w:val="0"/>
        <w:ind w:firstLineChars="0"/>
        <w:jc w:val="left"/>
        <w:rPr>
          <w:szCs w:val="24"/>
        </w:rPr>
        <w:sectPr>
          <w:footerReference r:id="rId3" w:type="default"/>
          <w:pgSz w:w="11906" w:h="16838"/>
          <w:pgMar w:top="2155" w:right="1701" w:bottom="1814" w:left="1701" w:header="851" w:footer="992" w:gutter="113"/>
          <w:pgNumType w:fmt="upperRoman" w:start="1"/>
          <w:cols w:space="425" w:num="1"/>
          <w:docGrid w:type="lines" w:linePitch="312" w:charSpace="0"/>
        </w:sectPr>
      </w:pPr>
    </w:p>
    <w:p>
      <w:pPr>
        <w:pageBreakBefore/>
        <w:spacing w:before="800" w:after="400"/>
        <w:ind w:firstLineChars="0"/>
        <w:jc w:val="center"/>
        <w:rPr>
          <w:rFonts w:ascii="黑体" w:hAnsi="黑体" w:eastAsia="黑体"/>
          <w:sz w:val="30"/>
          <w:szCs w:val="30"/>
        </w:rPr>
      </w:pPr>
      <w:r>
        <w:rPr>
          <w:rFonts w:hint="eastAsia" w:ascii="黑体" w:hAnsi="黑体" w:eastAsia="黑体"/>
          <w:sz w:val="30"/>
          <w:szCs w:val="30"/>
        </w:rPr>
        <w:t>中文摘要</w:t>
      </w:r>
    </w:p>
    <w:p>
      <w:pPr>
        <w:ind w:firstLine="480"/>
        <w:rPr>
          <w:rFonts w:hint="eastAsia"/>
          <w:szCs w:val="24"/>
          <w:lang w:val="en-US" w:eastAsia="zh-CN"/>
        </w:rPr>
      </w:pPr>
      <w:r>
        <w:rPr>
          <w:rFonts w:hint="eastAsia"/>
          <w:szCs w:val="24"/>
          <w:lang w:val="en-US" w:eastAsia="zh-CN"/>
        </w:rPr>
        <w:t>随着人类对信息量需求的增大及无线通信技术的发展，无线通信频谱的稀缺已成一迫在眉睫之问题。然而在实际应用中，据官方部门如FCC或Ofcom报导，较大部分频谱未得到应用，频谱的实际利用率极低（甚至低至10%）。</w:t>
      </w:r>
    </w:p>
    <w:p>
      <w:pPr>
        <w:rPr>
          <w:rFonts w:hint="eastAsia"/>
          <w:szCs w:val="24"/>
          <w:lang w:val="en-US" w:eastAsia="zh-CN"/>
        </w:rPr>
      </w:pPr>
      <w:r>
        <w:rPr>
          <w:rFonts w:hint="eastAsia"/>
          <w:szCs w:val="24"/>
          <w:lang w:val="en-US" w:eastAsia="zh-CN"/>
        </w:rPr>
        <w:t>在此情况下，认知雷达技术（CR）应运而生，CR通过对频谱进行感知测量，选取空闲信道进行动态访问实现频谱的高效率利用。而在对于宽带频谱感知，无损恢复所要求的高奈奎斯特采样率一直受着ADC（Analog Digital Converter）硬件性能瓶颈般缓慢的发展深刻制衡。于是研究者便萌生将压缩感知的技术利用于频谱感知中的想法，该技术通过以低于奈奎斯特采样率对信号进行采样（通常为非线性）获得压缩观测值，再通过相应的压缩感知算法进行恢复而获取还原的信号。理论和实践均已证明，若待感知信号在某一正交基域满足稀疏性</w:t>
      </w:r>
      <w:r>
        <w:rPr>
          <w:rFonts w:hint="eastAsia" w:eastAsia="宋体"/>
          <w:lang w:val="en-US" w:eastAsia="zh-CN"/>
        </w:rPr>
        <w:t>（实际应用中信号在频域满足稀疏性已是事实，即为傅里叶基上的稀疏信号，之后本文所述“稀疏信号”均指此类信号），</w:t>
      </w:r>
      <w:r>
        <w:rPr>
          <w:rFonts w:hint="eastAsia"/>
          <w:szCs w:val="24"/>
          <w:lang w:val="en-US" w:eastAsia="zh-CN"/>
        </w:rPr>
        <w:t>则通过压缩感知进行信号的压缩恢复，能几近完美的恢复原信号。</w:t>
      </w:r>
    </w:p>
    <w:p>
      <w:pPr>
        <w:ind w:firstLine="480"/>
        <w:rPr>
          <w:rFonts w:hint="eastAsia"/>
          <w:szCs w:val="24"/>
          <w:lang w:val="en-US" w:eastAsia="zh-CN"/>
        </w:rPr>
      </w:pPr>
      <w:r>
        <w:rPr>
          <w:rFonts w:hint="eastAsia"/>
          <w:szCs w:val="24"/>
          <w:lang w:val="en-US" w:eastAsia="zh-CN"/>
        </w:rPr>
        <w:t>本文首先对频谱感知技术进行了理论研究，之后通过matlab进行对800MHZ宽带信号的压缩感知与恢复的仿真。本文通过比较不同种类压缩采样器（亦称AIC，模信转换器）、利用三种类型的恢复算法并对调控参数（如判决阈值）等进行了仿真并且给出了良好的在亚奈奎斯特采样率下的压缩感知恢复结果。通过变动稀疏度、压缩率、信噪比作出了侦测/虚警概率变化趋势图，并且从信号类型、实际需求、复杂度和侦测性能上综合分析，给出了宽带频谱压缩感知一些一般性的结论，为实际频谱压缩感知提供了帮助。</w:t>
      </w:r>
    </w:p>
    <w:p>
      <w:pPr>
        <w:ind w:firstLine="480"/>
        <w:rPr>
          <w:rFonts w:hint="eastAsia"/>
          <w:szCs w:val="24"/>
        </w:rPr>
      </w:pPr>
    </w:p>
    <w:p>
      <w:pPr>
        <w:ind w:firstLine="480"/>
        <w:rPr>
          <w:szCs w:val="24"/>
        </w:rPr>
      </w:pPr>
    </w:p>
    <w:p>
      <w:pPr>
        <w:ind w:firstLine="482"/>
        <w:rPr>
          <w:rFonts w:hint="eastAsia"/>
          <w:szCs w:val="24"/>
        </w:rPr>
      </w:pPr>
      <w:r>
        <w:rPr>
          <w:b/>
          <w:szCs w:val="24"/>
        </w:rPr>
        <w:t>关键词</w:t>
      </w:r>
      <w:r>
        <w:rPr>
          <w:szCs w:val="24"/>
        </w:rPr>
        <w:t>：</w:t>
      </w:r>
      <w:r>
        <w:rPr>
          <w:rFonts w:hint="eastAsia" w:eastAsia="宋体"/>
          <w:szCs w:val="24"/>
          <w:lang w:val="en-US" w:eastAsia="zh-CN"/>
        </w:rPr>
        <w:t>宽带频谱感知</w:t>
      </w:r>
      <w:r>
        <w:rPr>
          <w:szCs w:val="24"/>
        </w:rPr>
        <w:t>；</w:t>
      </w:r>
      <w:r>
        <w:rPr>
          <w:rFonts w:hint="eastAsia" w:eastAsia="宋体"/>
          <w:szCs w:val="24"/>
          <w:lang w:val="en-US" w:eastAsia="zh-CN"/>
        </w:rPr>
        <w:t>压缩感知</w:t>
      </w:r>
      <w:r>
        <w:rPr>
          <w:szCs w:val="24"/>
        </w:rPr>
        <w:t>；</w:t>
      </w:r>
      <w:r>
        <w:rPr>
          <w:rFonts w:hint="eastAsia" w:eastAsia="宋体"/>
          <w:szCs w:val="24"/>
          <w:lang w:val="en-US" w:eastAsia="zh-CN"/>
        </w:rPr>
        <w:t>模信转换器（AIC）；迭代加权最小二乘法</w:t>
      </w:r>
      <w:r>
        <w:rPr>
          <w:rFonts w:hint="eastAsia"/>
          <w:szCs w:val="24"/>
        </w:rPr>
        <w:t>；</w:t>
      </w:r>
    </w:p>
    <w:p>
      <w:pPr>
        <w:ind w:firstLine="482"/>
        <w:rPr>
          <w:rFonts w:hint="eastAsia"/>
          <w:szCs w:val="24"/>
        </w:rPr>
      </w:pPr>
    </w:p>
    <w:p>
      <w:pPr>
        <w:pageBreakBefore/>
        <w:spacing w:before="1000" w:after="400"/>
        <w:ind w:firstLine="0" w:firstLineChars="0"/>
        <w:jc w:val="center"/>
        <w:rPr>
          <w:rFonts w:ascii="黑体" w:hAnsi="黑体" w:eastAsia="黑体"/>
          <w:sz w:val="30"/>
          <w:szCs w:val="30"/>
        </w:rPr>
      </w:pPr>
      <w:bookmarkStart w:id="0" w:name="_Toc132604382"/>
      <w:bookmarkStart w:id="1" w:name="_Toc132604513"/>
      <w:bookmarkStart w:id="2" w:name="_Toc46112706"/>
      <w:r>
        <w:rPr>
          <w:rFonts w:hint="eastAsia" w:ascii="黑体" w:hAnsi="黑体" w:eastAsia="黑体"/>
          <w:sz w:val="30"/>
          <w:szCs w:val="30"/>
        </w:rPr>
        <w:t>目</w:t>
      </w:r>
      <w:r>
        <w:rPr>
          <w:rFonts w:ascii="黑体" w:hAnsi="黑体" w:eastAsia="黑体"/>
          <w:sz w:val="30"/>
          <w:szCs w:val="30"/>
        </w:rPr>
        <w:t xml:space="preserve">  </w:t>
      </w:r>
      <w:r>
        <w:rPr>
          <w:rFonts w:hint="eastAsia" w:ascii="黑体" w:hAnsi="黑体" w:eastAsia="黑体"/>
          <w:sz w:val="30"/>
          <w:szCs w:val="30"/>
        </w:rPr>
        <w:t xml:space="preserve">  录</w:t>
      </w:r>
      <w:bookmarkEnd w:id="0"/>
      <w:bookmarkEnd w:id="1"/>
      <w:bookmarkEnd w:id="2"/>
    </w:p>
    <w:p>
      <w:pPr>
        <w:pStyle w:val="7"/>
        <w:rPr>
          <w:rFonts w:asciiTheme="minorHAnsi" w:hAnsiTheme="minorHAnsi" w:eastAsiaTheme="minorEastAsia" w:cstheme="minorBidi"/>
          <w:kern w:val="2"/>
          <w:sz w:val="21"/>
        </w:rPr>
      </w:pPr>
      <w:r>
        <w:fldChar w:fldCharType="begin"/>
      </w:r>
      <w:r>
        <w:instrText xml:space="preserve"> TOC \o "2-3" \h \z \t "标题 1,1,标题 1_无编号,1,标题 1_无编号1,1,附录A,1,声明,1,致谢,1,参考文献,1,表格索引,1,插图索引,1" </w:instrText>
      </w:r>
      <w:r>
        <w:fldChar w:fldCharType="separate"/>
      </w:r>
    </w:p>
    <w:p>
      <w:pPr>
        <w:pStyle w:val="6"/>
        <w:rPr>
          <w:rFonts w:asciiTheme="minorHAnsi" w:hAnsiTheme="minorHAnsi" w:eastAsiaTheme="minorEastAsia" w:cstheme="minorBidi"/>
          <w:kern w:val="2"/>
          <w:sz w:val="21"/>
        </w:rPr>
      </w:pPr>
      <w:r>
        <w:fldChar w:fldCharType="begin"/>
      </w:r>
      <w:r>
        <w:instrText xml:space="preserve"> HYPERLINK \l "_Toc452060134" </w:instrText>
      </w:r>
      <w:r>
        <w:fldChar w:fldCharType="separate"/>
      </w:r>
      <w:r>
        <w:rPr>
          <w:rStyle w:val="9"/>
        </w:rPr>
        <w:t>第5章 总结</w:t>
      </w:r>
      <w:r>
        <w:tab/>
      </w:r>
      <w:r>
        <w:fldChar w:fldCharType="begin"/>
      </w:r>
      <w:r>
        <w:instrText xml:space="preserve"> PAGEREF _Toc452060134 \h </w:instrText>
      </w:r>
      <w:r>
        <w:fldChar w:fldCharType="separate"/>
      </w:r>
      <w:r>
        <w:t>30</w:t>
      </w:r>
      <w:r>
        <w:fldChar w:fldCharType="end"/>
      </w:r>
      <w:r>
        <w:fldChar w:fldCharType="end"/>
      </w:r>
    </w:p>
    <w:p>
      <w:pPr>
        <w:pStyle w:val="6"/>
        <w:rPr>
          <w:rFonts w:asciiTheme="minorHAnsi" w:hAnsiTheme="minorHAnsi" w:eastAsiaTheme="minorEastAsia" w:cstheme="minorBidi"/>
          <w:kern w:val="2"/>
          <w:sz w:val="21"/>
        </w:rPr>
      </w:pPr>
      <w:r>
        <w:fldChar w:fldCharType="begin"/>
      </w:r>
      <w:r>
        <w:instrText xml:space="preserve"> HYPERLINK \l "_Toc452060135" </w:instrText>
      </w:r>
      <w:r>
        <w:fldChar w:fldCharType="separate"/>
      </w:r>
      <w:r>
        <w:rPr>
          <w:rStyle w:val="9"/>
        </w:rPr>
        <w:t>插图索引</w:t>
      </w:r>
      <w:r>
        <w:tab/>
      </w:r>
      <w:r>
        <w:fldChar w:fldCharType="begin"/>
      </w:r>
      <w:r>
        <w:instrText xml:space="preserve"> PAGEREF _Toc452060135 \h </w:instrText>
      </w:r>
      <w:r>
        <w:fldChar w:fldCharType="separate"/>
      </w:r>
      <w:r>
        <w:t>31</w:t>
      </w:r>
      <w:r>
        <w:fldChar w:fldCharType="end"/>
      </w:r>
      <w:r>
        <w:fldChar w:fldCharType="end"/>
      </w:r>
    </w:p>
    <w:p>
      <w:pPr>
        <w:pStyle w:val="6"/>
        <w:rPr>
          <w:rFonts w:asciiTheme="minorHAnsi" w:hAnsiTheme="minorHAnsi" w:eastAsiaTheme="minorEastAsia" w:cstheme="minorBidi"/>
          <w:kern w:val="2"/>
          <w:sz w:val="21"/>
        </w:rPr>
      </w:pPr>
      <w:r>
        <w:fldChar w:fldCharType="begin"/>
      </w:r>
      <w:r>
        <w:instrText xml:space="preserve"> HYPERLINK \l "_Toc452060136" </w:instrText>
      </w:r>
      <w:r>
        <w:fldChar w:fldCharType="separate"/>
      </w:r>
      <w:r>
        <w:rPr>
          <w:rStyle w:val="9"/>
        </w:rPr>
        <w:t>表格索引</w:t>
      </w:r>
      <w:r>
        <w:tab/>
      </w:r>
      <w:r>
        <w:fldChar w:fldCharType="begin"/>
      </w:r>
      <w:r>
        <w:instrText xml:space="preserve"> PAGEREF _Toc452060136 \h </w:instrText>
      </w:r>
      <w:r>
        <w:fldChar w:fldCharType="separate"/>
      </w:r>
      <w:r>
        <w:t>32</w:t>
      </w:r>
      <w:r>
        <w:fldChar w:fldCharType="end"/>
      </w:r>
      <w:r>
        <w:fldChar w:fldCharType="end"/>
      </w:r>
    </w:p>
    <w:p>
      <w:pPr>
        <w:pStyle w:val="6"/>
        <w:rPr>
          <w:rFonts w:asciiTheme="minorHAnsi" w:hAnsiTheme="minorHAnsi" w:eastAsiaTheme="minorEastAsia" w:cstheme="minorBidi"/>
          <w:kern w:val="2"/>
          <w:sz w:val="21"/>
        </w:rPr>
      </w:pPr>
      <w:r>
        <w:fldChar w:fldCharType="begin"/>
      </w:r>
      <w:r>
        <w:instrText xml:space="preserve"> HYPERLINK \l "_Toc452060137" </w:instrText>
      </w:r>
      <w:r>
        <w:fldChar w:fldCharType="separate"/>
      </w:r>
      <w:r>
        <w:rPr>
          <w:rStyle w:val="9"/>
        </w:rPr>
        <w:t>参考文献</w:t>
      </w:r>
      <w:r>
        <w:tab/>
      </w:r>
      <w:r>
        <w:fldChar w:fldCharType="begin"/>
      </w:r>
      <w:r>
        <w:instrText xml:space="preserve"> PAGEREF _Toc452060137 \h </w:instrText>
      </w:r>
      <w:r>
        <w:fldChar w:fldCharType="separate"/>
      </w:r>
      <w:r>
        <w:t>33</w:t>
      </w:r>
      <w:r>
        <w:fldChar w:fldCharType="end"/>
      </w:r>
      <w:r>
        <w:fldChar w:fldCharType="end"/>
      </w:r>
    </w:p>
    <w:p>
      <w:pPr>
        <w:pStyle w:val="6"/>
        <w:rPr>
          <w:rFonts w:asciiTheme="minorHAnsi" w:hAnsiTheme="minorHAnsi" w:eastAsiaTheme="minorEastAsia" w:cstheme="minorBidi"/>
          <w:kern w:val="2"/>
          <w:sz w:val="21"/>
        </w:rPr>
      </w:pPr>
      <w:r>
        <w:fldChar w:fldCharType="begin"/>
      </w:r>
      <w:r>
        <w:instrText xml:space="preserve"> HYPERLINK \l "_Toc452060138" </w:instrText>
      </w:r>
      <w:r>
        <w:fldChar w:fldCharType="separate"/>
      </w:r>
      <w:r>
        <w:rPr>
          <w:rStyle w:val="9"/>
        </w:rPr>
        <w:t>致    谢</w:t>
      </w:r>
      <w:r>
        <w:tab/>
      </w:r>
      <w:r>
        <w:fldChar w:fldCharType="begin"/>
      </w:r>
      <w:r>
        <w:instrText xml:space="preserve"> PAGEREF _Toc452060138 \h </w:instrText>
      </w:r>
      <w:r>
        <w:fldChar w:fldCharType="separate"/>
      </w:r>
      <w:r>
        <w:t>35</w:t>
      </w:r>
      <w:r>
        <w:fldChar w:fldCharType="end"/>
      </w:r>
      <w:r>
        <w:fldChar w:fldCharType="end"/>
      </w:r>
    </w:p>
    <w:p>
      <w:pPr>
        <w:pStyle w:val="6"/>
        <w:rPr>
          <w:rFonts w:asciiTheme="minorHAnsi" w:hAnsiTheme="minorHAnsi" w:eastAsiaTheme="minorEastAsia" w:cstheme="minorBidi"/>
          <w:kern w:val="2"/>
          <w:sz w:val="21"/>
        </w:rPr>
      </w:pPr>
      <w:r>
        <w:fldChar w:fldCharType="begin"/>
      </w:r>
      <w:r>
        <w:instrText xml:space="preserve"> HYPERLINK \l "_Toc452060139" </w:instrText>
      </w:r>
      <w:r>
        <w:fldChar w:fldCharType="separate"/>
      </w:r>
      <w:r>
        <w:rPr>
          <w:rStyle w:val="9"/>
        </w:rPr>
        <w:t>声    明</w:t>
      </w:r>
      <w:r>
        <w:tab/>
      </w:r>
      <w:r>
        <w:fldChar w:fldCharType="begin"/>
      </w:r>
      <w:r>
        <w:instrText xml:space="preserve"> PAGEREF _Toc452060139 \h </w:instrText>
      </w:r>
      <w:r>
        <w:fldChar w:fldCharType="separate"/>
      </w:r>
      <w:r>
        <w:t>36</w:t>
      </w:r>
      <w:r>
        <w:fldChar w:fldCharType="end"/>
      </w:r>
      <w:r>
        <w:fldChar w:fldCharType="end"/>
      </w:r>
    </w:p>
    <w:p>
      <w:pPr>
        <w:pStyle w:val="6"/>
        <w:rPr>
          <w:rFonts w:asciiTheme="minorHAnsi" w:hAnsiTheme="minorHAnsi" w:eastAsiaTheme="minorEastAsia" w:cstheme="minorBidi"/>
          <w:kern w:val="2"/>
          <w:sz w:val="21"/>
        </w:rPr>
      </w:pPr>
      <w:r>
        <w:fldChar w:fldCharType="begin"/>
      </w:r>
      <w:r>
        <w:instrText xml:space="preserve"> HYPERLINK \l "_Toc452060140" </w:instrText>
      </w:r>
      <w:r>
        <w:fldChar w:fldCharType="separate"/>
      </w:r>
      <w:r>
        <w:rPr>
          <w:rStyle w:val="9"/>
        </w:rPr>
        <w:t>附录A  书面翻译</w:t>
      </w:r>
      <w:r>
        <w:tab/>
      </w:r>
      <w:r>
        <w:fldChar w:fldCharType="begin"/>
      </w:r>
      <w:r>
        <w:instrText xml:space="preserve"> PAGEREF _Toc452060140 \h </w:instrText>
      </w:r>
      <w:r>
        <w:fldChar w:fldCharType="separate"/>
      </w:r>
      <w:r>
        <w:t>37</w:t>
      </w:r>
      <w:r>
        <w:fldChar w:fldCharType="end"/>
      </w:r>
      <w:r>
        <w:fldChar w:fldCharType="end"/>
      </w:r>
    </w:p>
    <w:p>
      <w:pPr>
        <w:ind w:firstLine="480"/>
        <w:rPr>
          <w:rFonts w:ascii="宋体" w:hAnsi="宋体"/>
          <w:szCs w:val="24"/>
        </w:rPr>
      </w:pPr>
      <w:r>
        <w:fldChar w:fldCharType="end"/>
      </w:r>
    </w:p>
    <w:p>
      <w:pPr>
        <w:rPr>
          <w:rFonts w:hint="eastAsia" w:cs="宋体" w:asciiTheme="minorEastAsia" w:hAnsiTheme="minorEastAsia"/>
          <w:lang w:val="en-US" w:eastAsia="zh-CN"/>
        </w:rPr>
      </w:pPr>
    </w:p>
    <w:p>
      <w:pPr>
        <w:pStyle w:val="2"/>
      </w:pPr>
      <w:bookmarkStart w:id="3" w:name="_Toc452060105"/>
      <w:r>
        <w:rPr>
          <w:rFonts w:hint="eastAsia"/>
        </w:rPr>
        <w:t>第1章 引言</w:t>
      </w:r>
      <w:bookmarkEnd w:id="3"/>
    </w:p>
    <w:p>
      <w:pPr>
        <w:pStyle w:val="3"/>
        <w:rPr>
          <w:rFonts w:hint="eastAsia"/>
        </w:rPr>
      </w:pPr>
      <w:bookmarkStart w:id="4" w:name="_Toc452060106"/>
      <w:r>
        <w:rPr>
          <w:rFonts w:hint="eastAsia"/>
        </w:rPr>
        <w:t>1.1 课题研究背景</w:t>
      </w:r>
      <w:bookmarkEnd w:id="4"/>
    </w:p>
    <w:p>
      <w:pPr>
        <w:rPr>
          <w:rFonts w:hint="eastAsia" w:eastAsia="宋体"/>
          <w:lang w:val="en-US" w:eastAsia="zh-CN"/>
        </w:rPr>
      </w:pPr>
      <w:r>
        <w:rPr>
          <w:rFonts w:hint="eastAsia" w:eastAsia="宋体"/>
          <w:lang w:val="en-US" w:eastAsia="zh-CN"/>
        </w:rPr>
        <w:t>近年来，随着无线通信的迅速发展、无线频谱资源的稀缺成为了一个紧要的问题。然而根据美国通信委员会（FCC）以及英国通信局（Ofcom）的报道，很大百分比的频谱资源没有被利用（利用率低至10%）。认知雷达（CR）技术应运而生，其通过允许次用户对当前空闲频谱进行访问利用。</w:t>
      </w:r>
    </w:p>
    <w:p>
      <w:pPr>
        <w:rPr>
          <w:rFonts w:hint="eastAsia" w:eastAsia="宋体"/>
          <w:lang w:val="en-US" w:eastAsia="zh-CN"/>
        </w:rPr>
      </w:pPr>
      <w:r>
        <w:rPr>
          <w:rFonts w:hint="eastAsia" w:eastAsia="宋体"/>
          <w:lang w:val="en-US" w:eastAsia="zh-CN"/>
        </w:rPr>
        <w:t>在CR技术中，频谱感知技术乃第一步，其通过感测当前频谱中空洞，在不对主用户带来任何干扰干涉情况下用以给次用户访问。</w:t>
      </w:r>
    </w:p>
    <w:p>
      <w:pPr>
        <w:rPr>
          <w:rFonts w:hint="eastAsia" w:eastAsia="宋体"/>
          <w:lang w:val="en-US" w:eastAsia="zh-CN"/>
        </w:rPr>
      </w:pPr>
      <w:r>
        <w:rPr>
          <w:rFonts w:hint="eastAsia" w:eastAsia="宋体"/>
          <w:lang w:val="en-US" w:eastAsia="zh-CN"/>
        </w:rPr>
        <w:t>在最近的研究中宽带频谱感知逐渐吸引了研究者的兴趣。一个最直接的感知方法即是通过以奈奎斯特采样率进行采样之后通过插值滤波器/DFT恢复时域/频域信号。而在频谱为宽带情形下最大的问题不在于数字信号处理等数值计算模块，而在于对极高采样率ADC的要求，根据调研，现状是数字信号处理软硬件性能的进步速度都高过ADC采样率性能瓶颈般的提高速度。</w:t>
      </w:r>
    </w:p>
    <w:p>
      <w:pPr>
        <w:rPr>
          <w:rFonts w:hint="eastAsia" w:eastAsia="宋体"/>
          <w:lang w:val="en-US" w:eastAsia="zh-CN"/>
        </w:rPr>
      </w:pPr>
      <w:r>
        <w:rPr>
          <w:rFonts w:hint="eastAsia" w:eastAsia="宋体"/>
          <w:lang w:val="en-US" w:eastAsia="zh-CN"/>
        </w:rPr>
        <w:t>于是压缩感知的技术被利用至宽带频谱感知中，用以克服高速ADC代价昂贵的问题。压缩感知本质是通过对信号在一组正交稀疏基上进行投影获取压缩测量量，其数学描述可视作一个观测矩阵与信号矢量的相乘。在一般压缩感知问题中，问题仅仅是观测矩阵的设计（该观测矩阵虚满足正交性、约束等距条件等，通常以随机矩阵实用，会在后文中详尽分析），在矩阵确认之后直接将其与带压缩信息相乘。但在频谱压缩感知中问题并非如此易，因为我们需要在ADC采样之前完成信息的压缩，而不是违背初心：用一个高速ADC采样后再去与观测矩阵相乘——这完全没有减轻ADC的压力。于是AIC（Analog Information Converter）应时而生,其位置处于ADC之前，将信息先通过一类非线性处理之后通过低速ADC采样获得压缩观测值。</w:t>
      </w:r>
    </w:p>
    <w:p>
      <w:pPr>
        <w:rPr>
          <w:rFonts w:hint="eastAsia" w:eastAsia="宋体"/>
          <w:lang w:val="en-US" w:eastAsia="zh-CN"/>
        </w:rPr>
      </w:pPr>
      <w:r>
        <w:drawing>
          <wp:anchor distT="0" distB="0" distL="114300" distR="114300" simplePos="0" relativeHeight="251658240" behindDoc="1" locked="0" layoutInCell="1" allowOverlap="1">
            <wp:simplePos x="0" y="0"/>
            <wp:positionH relativeFrom="column">
              <wp:posOffset>254000</wp:posOffset>
            </wp:positionH>
            <wp:positionV relativeFrom="paragraph">
              <wp:posOffset>53340</wp:posOffset>
            </wp:positionV>
            <wp:extent cx="4565650" cy="1253490"/>
            <wp:effectExtent l="0" t="0" r="44450" b="41910"/>
            <wp:wrapTight wrapText="bothSides">
              <wp:wrapPolygon>
                <wp:start x="0" y="0"/>
                <wp:lineTo x="0" y="21337"/>
                <wp:lineTo x="21540" y="21337"/>
                <wp:lineTo x="21540"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4565650" cy="1253490"/>
                    </a:xfrm>
                    <a:prstGeom prst="rect">
                      <a:avLst/>
                    </a:prstGeom>
                    <a:noFill/>
                    <a:ln w="9525">
                      <a:noFill/>
                    </a:ln>
                  </pic:spPr>
                </pic:pic>
              </a:graphicData>
            </a:graphic>
          </wp:anchor>
        </w:drawing>
      </w:r>
    </w:p>
    <w:p>
      <w:pPr>
        <w:rPr>
          <w:rFonts w:hint="eastAsia" w:eastAsia="宋体"/>
          <w:lang w:val="en-US" w:eastAsia="zh-CN"/>
        </w:rPr>
      </w:pPr>
    </w:p>
    <w:p>
      <w:pPr>
        <w:ind w:firstLine="480"/>
        <w:rPr>
          <w:rFonts w:hint="eastAsia"/>
        </w:rPr>
      </w:pPr>
    </w:p>
    <w:p>
      <w:pPr>
        <w:ind w:firstLine="480"/>
        <w:rPr>
          <w:rFonts w:hint="eastAsia"/>
        </w:rPr>
      </w:pPr>
    </w:p>
    <w:p>
      <w:pPr>
        <w:ind w:firstLine="480"/>
        <w:rPr>
          <w:rFonts w:hint="eastAsia" w:eastAsia="宋体"/>
          <w:lang w:val="en-US" w:eastAsia="zh-CN"/>
        </w:rPr>
      </w:pPr>
      <w:r>
        <w:rPr>
          <w:rFonts w:hint="eastAsia" w:eastAsia="宋体"/>
          <w:lang w:val="en-US" w:eastAsia="zh-CN"/>
        </w:rPr>
        <w:t>通过上图，我等可以理解。故于整个压缩采样过程最精妙之处在于设计合理且巧妙的AIC，即要利用实际可行的硬件对信号进行处理（AIC部分）再通过ADC采样，获得压缩测量量。即是说，要用可行的模拟器件（如乘法器滤波器）加埋低速ADC完成一个等效观测矩阵！</w:t>
      </w:r>
    </w:p>
    <w:p>
      <w:pPr>
        <w:ind w:firstLine="480"/>
        <w:rPr>
          <w:rFonts w:hint="eastAsia" w:eastAsia="宋体"/>
          <w:lang w:val="en-US" w:eastAsia="zh-CN"/>
        </w:rPr>
      </w:pPr>
      <w:r>
        <w:rPr>
          <w:rFonts w:hint="eastAsia" w:eastAsia="宋体"/>
          <w:lang w:val="en-US" w:eastAsia="zh-CN"/>
        </w:rPr>
        <w:t>上段所述是关于压缩测量过程，目前对于AIC的设计大致可分为随机调制器和非均匀采样器等类型，关于此器的设计刚处于初级阶段，事实上亦可说对于整个频谱压缩感知实践刚处于初级阶段。就AIC设计而言，目前这需要极之巧妙的设计、高妙的数学分析手段结合可实现的物理器件的条件。本文在之后对于AIC的比较与选取有详尽研究与论述。</w:t>
      </w:r>
    </w:p>
    <w:p>
      <w:pPr>
        <w:ind w:firstLine="420" w:firstLineChars="0"/>
        <w:rPr>
          <w:rFonts w:hint="eastAsia" w:eastAsia="宋体"/>
          <w:lang w:val="en-US" w:eastAsia="zh-CN"/>
        </w:rPr>
      </w:pPr>
      <w:r>
        <w:rPr>
          <w:rFonts w:hint="eastAsia" w:eastAsia="宋体"/>
          <w:lang w:val="en-US" w:eastAsia="zh-CN"/>
        </w:rPr>
        <w:t>除去压缩测量，留低即是压缩恢复过程。关于压缩感知恢复算法已经有较为多的研究，毕竟仅系一纯数学问题。目前常见的几类恢复算法可以分为：贪婪算法，优化算法，混合算法等。其利弊优劣复杂度分析均有在后文中分析、仿真。</w:t>
      </w:r>
    </w:p>
    <w:p>
      <w:pPr>
        <w:ind w:firstLine="420" w:firstLineChars="0"/>
        <w:rPr>
          <w:rFonts w:hint="eastAsia" w:eastAsia="宋体"/>
          <w:lang w:val="en-US" w:eastAsia="zh-CN"/>
        </w:rPr>
      </w:pPr>
      <w:r>
        <w:rPr>
          <w:rFonts w:hint="eastAsia" w:eastAsia="宋体"/>
          <w:lang w:val="en-US" w:eastAsia="zh-CN"/>
        </w:rPr>
        <w:t>在恢复完信号后，我们目的是为了满足认知雷达CR的选取空闲信道的功能，便有一个信道是否空闲的判决过程，本次我们建立的模型采用能量检测法设置阈值进行判决。</w:t>
      </w:r>
    </w:p>
    <w:p>
      <w:pPr>
        <w:pStyle w:val="3"/>
        <w:rPr>
          <w:rFonts w:hint="eastAsia"/>
        </w:rPr>
      </w:pPr>
      <w:bookmarkStart w:id="5" w:name="_Toc452060107"/>
      <w:r>
        <w:rPr>
          <w:rFonts w:hint="eastAsia"/>
        </w:rPr>
        <w:t>1.2 研究现状概述</w:t>
      </w:r>
      <w:bookmarkEnd w:id="5"/>
    </w:p>
    <w:p>
      <w:pPr>
        <w:rPr>
          <w:rFonts w:hint="eastAsia" w:eastAsia="宋体"/>
          <w:lang w:val="en-US" w:eastAsia="zh-CN"/>
        </w:rPr>
      </w:pPr>
      <w:r>
        <w:rPr>
          <w:rFonts w:hint="eastAsia" w:eastAsia="宋体"/>
          <w:lang w:val="en-US" w:eastAsia="zh-CN"/>
        </w:rPr>
        <w:t>自美籍华人学者陶哲轩（亦是笔者儿时偶像）等人提出压缩感知这一概念来，压缩感知理论研究吸引学术领域关注，而对于频谱压缩感知的实际应用仅处于起步阶段。根据笔者文献调研，本章节主要叙述了几种压缩感知测量与恢复方法的研究现状。</w:t>
      </w:r>
    </w:p>
    <w:p>
      <w:pPr>
        <w:rPr>
          <w:rFonts w:hint="eastAsia" w:eastAsia="宋体"/>
          <w:lang w:val="en-US" w:eastAsia="zh-CN"/>
        </w:rPr>
      </w:pPr>
      <w:r>
        <w:rPr>
          <w:rFonts w:hint="eastAsia" w:eastAsia="宋体"/>
          <w:lang w:val="en-US" w:eastAsia="zh-CN"/>
        </w:rPr>
        <w:t>根据上一节，我们知压缩采样部分主要在于实用AIC（Analog Information Converter）的设计，目前常用几类AIC：</w:t>
      </w:r>
    </w:p>
    <w:p>
      <w:pPr>
        <w:numPr>
          <w:ilvl w:val="0"/>
          <w:numId w:val="1"/>
        </w:numPr>
        <w:rPr>
          <w:rFonts w:hint="eastAsia" w:eastAsia="宋体"/>
          <w:lang w:val="en-US" w:eastAsia="zh-CN"/>
        </w:rPr>
      </w:pPr>
      <w:r>
        <w:rPr>
          <w:rFonts w:hint="eastAsia" w:eastAsia="宋体"/>
          <w:lang w:val="en-US" w:eastAsia="zh-CN"/>
        </w:rPr>
        <w:t>非均匀采样器（Nonuniform Sampling）[1]:器如其名，通过对待压缩带限信号进行非均匀采样以获取压缩采样值。其优劣均十分明显，优即实现简单：仅需要控制标准ADC的时钟，无需任何附加硬件。劣即对时钟抖动十分铭感，拥有较低信噪比。</w:t>
      </w:r>
    </w:p>
    <w:p>
      <w:pPr>
        <w:numPr>
          <w:ilvl w:val="0"/>
          <w:numId w:val="1"/>
        </w:numPr>
        <w:rPr>
          <w:rFonts w:hint="eastAsia" w:eastAsia="宋体"/>
          <w:lang w:val="en-US" w:eastAsia="zh-CN"/>
        </w:rPr>
      </w:pPr>
      <w:r>
        <w:rPr>
          <w:rFonts w:hint="eastAsia" w:eastAsia="宋体"/>
          <w:lang w:val="en-US" w:eastAsia="zh-CN"/>
        </w:rPr>
        <w:t>随机解调器（Random Demodulator）[2]：J.A Tropp教授代表之作之一，首次将连续信号用于压缩感知中。随机解调器通过待恢复信号与奈奎斯特频率伪随机信号相乘再按低奈奎斯特频率通过积分器后通过低速ADC采样。其精妙构造使它能完美恢复多谐波稀疏信号；一定程度性能上近似恢复任意实际频域稀疏信号。优点是性能相比于其它AIC（如非均匀采样器）有着较好的SNR性能且稳定性好，劣势在于需要额外硬件支持。目前来说，由于其综合性能与可实现性，这是用得最广泛的一类AIC。</w:t>
      </w:r>
    </w:p>
    <w:p>
      <w:pPr>
        <w:numPr>
          <w:ilvl w:val="0"/>
          <w:numId w:val="1"/>
        </w:numPr>
        <w:ind w:firstLine="480" w:firstLineChars="0"/>
        <w:rPr>
          <w:rFonts w:hint="eastAsia"/>
          <w:lang w:val="en-US" w:eastAsia="zh-CN"/>
        </w:rPr>
      </w:pPr>
      <w:r>
        <w:rPr>
          <w:rFonts w:hint="eastAsia"/>
          <w:lang w:val="en-US" w:eastAsia="zh-CN"/>
        </w:rPr>
        <w:t>随机卷积器（Random Demodulator）[2]:与随机解调器类似，其区别在于将调制换成卷积，将积分换成滤波，由于性能等各种原因其使用不及RD广泛。</w:t>
      </w:r>
    </w:p>
    <w:p>
      <w:pPr>
        <w:numPr>
          <w:ilvl w:val="0"/>
          <w:numId w:val="1"/>
        </w:numPr>
        <w:ind w:firstLine="480" w:firstLineChars="0"/>
        <w:rPr>
          <w:rFonts w:hint="eastAsia"/>
          <w:lang w:val="en-US" w:eastAsia="zh-CN"/>
        </w:rPr>
      </w:pPr>
      <w:r>
        <w:rPr>
          <w:rFonts w:hint="eastAsia"/>
          <w:lang w:val="en-US" w:eastAsia="zh-CN"/>
        </w:rPr>
        <w:t>基于多带系统相关等，如并行解调系统、亚线性FFTs，此等在本文中并未涉及，故不作详述。。</w:t>
      </w:r>
    </w:p>
    <w:p>
      <w:pPr>
        <w:ind w:firstLine="480"/>
      </w:pPr>
      <w:r>
        <w:rPr>
          <w:rFonts w:hint="eastAsia"/>
        </w:rPr>
        <w:t>其中，基于压缩感知的检测器将压缩感知领域的理论和算法引入空间调制多用户上行检测器的设计，使得检测算法的复杂度进一步降低，尤其是在大规模多天线系统的场景下，能够在较低的复杂度下取得较好的检测效果。目前已有的基于压缩感知技术的检测算法主要有以下几类。</w:t>
      </w:r>
    </w:p>
    <w:p>
      <w:pPr>
        <w:ind w:firstLine="480"/>
      </w:pPr>
      <w:bookmarkStart w:id="8" w:name="_GoBack"/>
      <w:bookmarkEnd w:id="8"/>
    </w:p>
    <w:p>
      <w:pPr>
        <w:pStyle w:val="3"/>
        <w:rPr>
          <w:szCs w:val="24"/>
        </w:rPr>
      </w:pPr>
      <w:bookmarkStart w:id="6" w:name="_Toc452060108"/>
      <w:r>
        <w:rPr>
          <w:rFonts w:hint="eastAsia"/>
        </w:rPr>
        <w:t>1.3 解决的问题及实用价值</w:t>
      </w:r>
      <w:bookmarkEnd w:id="6"/>
    </w:p>
    <w:p>
      <w:pPr>
        <w:ind w:firstLine="480"/>
      </w:pPr>
      <w:r>
        <w:rPr>
          <w:rFonts w:hint="eastAsia"/>
        </w:rPr>
        <w:t>当今时代，世界范围内无线通信业务正在持续不断地高速增长，实时的视频通话、高清视频观看、大型文件共享等业务已经走进了寻常百姓的日常生活，这对无线通信系统的要求也在不断提高，能够进行更高速率的传输，支持更多用户并且能够有更高能量效率的通信系统成为了无线通信领域的迫切需求。多入多出系统的提出，提供了一种提高通信系统速率的方法。在LTE标准中，已经加入了对于多天线的支持。</w:t>
      </w:r>
    </w:p>
    <w:p>
      <w:pPr>
        <w:ind w:firstLine="480"/>
      </w:pPr>
      <w:r>
        <w:rPr>
          <w:rFonts w:hint="eastAsia"/>
        </w:rPr>
        <w:t>理论上，发射机与接收机配备的天线数量越多，系统的数据速率和链接稳定性将会越高。但随着天线数量的增多，必然会导致接收机算法的复杂度大大提高，并且需要更多的无线通信设备链，导致更多的能量消耗[</w:t>
      </w:r>
      <w:r>
        <w:t>2</w:t>
      </w:r>
      <w:r>
        <w:rPr>
          <w:rFonts w:hint="eastAsia"/>
        </w:rPr>
        <w:t>]。空间调制技术在多天线的场景下，通过使用较少的无线通信设备链和较少的活跃天线进行数据传输，可以提供较好的能量效率。基于压缩感知的方法，由于其重建算法的复杂度低，能够很好地适应大规模天线的场景，支持更多的用户个数，并能取得较好的检测效果。因此，将压缩感知的方法引入多用户场景下的空间调制通信系统，能够为天线数目增多、用户数量增加的多天线系统提供可行的低复杂度的可靠检测方法，满足对于通信系统速率和能量效率的要求。为未来的无线通信系统提供可行的途径。</w:t>
      </w:r>
    </w:p>
    <w:p>
      <w:pPr>
        <w:ind w:firstLine="480"/>
      </w:pPr>
      <w:r>
        <w:rPr>
          <w:rFonts w:hint="eastAsia"/>
        </w:rPr>
        <w:t>本课题研究的内容即为基于压缩感知技术的多用户空间调制系统的上行检测器设计。目前已有一些此场景下的压缩感知检测器设计的文献，但缺少相互之间的对比。本课题研究和实现了几种基于压缩感知的检测器，并通过相互的对比找出各种方法适用的条件。在此基础之上，本课题还提出了一种基于迭代硬阈值方法（NIHT）的压缩感知检测方法，并通过对于多用户空间调制信号结构的利用，提升了算法的性能，相比于已有的基于压缩感知的检测算法具有一定的优势，尤其是在高阶调制的情况下更为显著。本课题的研究内容希望能够对未来可容纳更多用户和更多天线的无线通信系统的设计与实现提供帮助。</w:t>
      </w:r>
    </w:p>
    <w:p>
      <w:pPr>
        <w:ind w:firstLine="480"/>
      </w:pPr>
    </w:p>
    <w:p>
      <w:pPr>
        <w:ind w:left="0" w:leftChars="0" w:firstLine="0" w:firstLineChars="0"/>
        <w:rPr>
          <w:rFonts w:hint="eastAsia" w:cs="宋体" w:asciiTheme="minorEastAsia" w:hAnsiTheme="minorEastAsia"/>
          <w:lang w:val="en-US" w:eastAsia="zh-CN"/>
        </w:rPr>
      </w:pPr>
    </w:p>
    <w:p>
      <w:pPr>
        <w:ind w:left="0" w:leftChars="0" w:firstLine="0" w:firstLineChars="0"/>
        <w:rPr>
          <w:rFonts w:hint="eastAsia" w:cs="宋体" w:asciiTheme="minorEastAsia" w:hAnsiTheme="minorEastAsia"/>
          <w:lang w:val="en-US" w:eastAsia="zh-CN"/>
        </w:rPr>
      </w:pPr>
    </w:p>
    <w:p>
      <w:pPr>
        <w:ind w:left="0" w:leftChars="0" w:firstLine="0" w:firstLineChars="0"/>
        <w:rPr>
          <w:rFonts w:hint="eastAsia" w:cs="宋体" w:asciiTheme="minorEastAsia" w:hAnsiTheme="minorEastAsia"/>
          <w:lang w:val="en-US" w:eastAsia="zh-CN"/>
        </w:rPr>
      </w:pPr>
    </w:p>
    <w:p>
      <w:pPr>
        <w:ind w:left="0" w:leftChars="0" w:firstLine="0" w:firstLineChars="0"/>
        <w:rPr>
          <w:rFonts w:hint="eastAsia" w:cs="宋体" w:asciiTheme="minorEastAsia" w:hAnsiTheme="minorEastAsia"/>
          <w:lang w:val="en-US" w:eastAsia="zh-CN"/>
        </w:rPr>
      </w:pPr>
    </w:p>
    <w:p>
      <w:pPr>
        <w:ind w:left="0" w:leftChars="0" w:firstLine="0" w:firstLineChars="0"/>
        <w:rPr>
          <w:rFonts w:hint="eastAsia" w:cs="宋体" w:asciiTheme="minorEastAsia" w:hAnsiTheme="minorEastAsia"/>
          <w:lang w:val="en-US" w:eastAsia="zh-CN"/>
        </w:rPr>
      </w:pPr>
    </w:p>
    <w:p>
      <w:pPr>
        <w:ind w:left="0" w:leftChars="0" w:firstLine="0" w:firstLineChars="0"/>
        <w:rPr>
          <w:rFonts w:hint="eastAsia" w:cs="宋体" w:asciiTheme="minorEastAsia" w:hAnsiTheme="minorEastAsia"/>
          <w:lang w:val="en-US" w:eastAsia="zh-CN"/>
        </w:rPr>
      </w:pPr>
    </w:p>
    <w:p>
      <w:pPr>
        <w:ind w:left="0" w:leftChars="0" w:firstLine="0" w:firstLineChars="0"/>
        <w:rPr>
          <w:rFonts w:hint="eastAsia" w:cs="宋体" w:asciiTheme="minorEastAsia" w:hAnsiTheme="minorEastAsia"/>
          <w:lang w:val="en-US" w:eastAsia="zh-CN"/>
        </w:rPr>
      </w:pPr>
    </w:p>
    <w:p>
      <w:pPr>
        <w:ind w:left="0" w:leftChars="0" w:firstLine="0" w:firstLineChars="0"/>
        <w:rPr>
          <w:rFonts w:hint="eastAsia" w:cs="宋体" w:asciiTheme="minorEastAsia" w:hAnsiTheme="minorEastAsia"/>
          <w:lang w:val="en-US" w:eastAsia="zh-CN"/>
        </w:rPr>
      </w:pPr>
    </w:p>
    <w:p>
      <w:pPr>
        <w:ind w:left="0" w:leftChars="0" w:firstLine="0" w:firstLineChars="0"/>
        <w:rPr>
          <w:rFonts w:hint="eastAsia" w:cs="宋体" w:asciiTheme="minorEastAsia" w:hAnsiTheme="minorEastAsia"/>
          <w:lang w:val="en-US" w:eastAsia="zh-CN"/>
        </w:rPr>
      </w:pPr>
    </w:p>
    <w:p>
      <w:pPr>
        <w:ind w:left="0" w:leftChars="0" w:firstLine="0" w:firstLineChars="0"/>
        <w:rPr>
          <w:rFonts w:hint="eastAsia" w:cs="宋体" w:asciiTheme="minorEastAsia" w:hAnsiTheme="minorEastAsia"/>
          <w:lang w:val="en-US" w:eastAsia="zh-CN"/>
        </w:rPr>
      </w:pPr>
    </w:p>
    <w:p>
      <w:pPr>
        <w:pStyle w:val="17"/>
        <w:spacing w:before="800"/>
      </w:pPr>
      <w:bookmarkStart w:id="7" w:name="_Toc452060137"/>
      <w:r>
        <w:rPr>
          <w:rFonts w:hint="eastAsia"/>
        </w:rPr>
        <w:t>参考文献</w:t>
      </w:r>
      <w:bookmarkEnd w:id="7"/>
    </w:p>
    <w:p>
      <w:pPr>
        <w:spacing w:before="60" w:line="340" w:lineRule="exact"/>
        <w:ind w:left="420" w:hanging="420" w:hangingChars="200"/>
        <w:jc w:val="left"/>
        <w:rPr>
          <w:sz w:val="21"/>
          <w:szCs w:val="21"/>
        </w:rPr>
      </w:pPr>
      <w:r>
        <w:drawing>
          <wp:anchor distT="0" distB="0" distL="114300" distR="114300" simplePos="0" relativeHeight="251659264" behindDoc="0" locked="0" layoutInCell="1" allowOverlap="1">
            <wp:simplePos x="0" y="0"/>
            <wp:positionH relativeFrom="column">
              <wp:posOffset>172085</wp:posOffset>
            </wp:positionH>
            <wp:positionV relativeFrom="paragraph">
              <wp:posOffset>542290</wp:posOffset>
            </wp:positionV>
            <wp:extent cx="4447540" cy="504825"/>
            <wp:effectExtent l="0" t="0" r="1016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4447540" cy="504825"/>
                    </a:xfrm>
                    <a:prstGeom prst="rect">
                      <a:avLst/>
                    </a:prstGeom>
                    <a:noFill/>
                    <a:ln w="9525">
                      <a:noFill/>
                    </a:ln>
                  </pic:spPr>
                </pic:pic>
              </a:graphicData>
            </a:graphic>
          </wp:anchor>
        </w:drawing>
      </w:r>
      <w:r>
        <w:rPr>
          <w:rStyle w:val="18"/>
          <w:color w:val="222222"/>
          <w:sz w:val="21"/>
          <w:szCs w:val="21"/>
        </w:rPr>
        <w:t>[1]</w:t>
      </w:r>
      <w:r>
        <w:rPr>
          <w:color w:val="222222"/>
          <w:sz w:val="21"/>
          <w:szCs w:val="21"/>
          <w:shd w:val="clear" w:color="auto" w:fill="FFFFFF"/>
        </w:rPr>
        <w:tab/>
      </w:r>
    </w:p>
    <w:p>
      <w:pPr>
        <w:ind w:left="0" w:leftChars="0" w:firstLine="0" w:firstLineChars="0"/>
        <w:rPr>
          <w:rFonts w:hint="eastAsia" w:cs="宋体" w:asciiTheme="minorEastAsia" w:hAnsiTheme="minorEastAsia"/>
          <w:lang w:val="en-US" w:eastAsia="zh-CN"/>
        </w:rPr>
      </w:pPr>
    </w:p>
    <w:p>
      <w:pPr>
        <w:ind w:left="0" w:leftChars="0" w:firstLine="0" w:firstLineChars="0"/>
        <w:rPr>
          <w:rFonts w:hint="eastAsia" w:cs="宋体" w:asciiTheme="minorEastAsia" w:hAnsiTheme="minorEastAsia"/>
          <w:lang w:val="en-US" w:eastAsia="zh-CN"/>
        </w:rPr>
      </w:pPr>
    </w:p>
    <w:p>
      <w:pPr>
        <w:ind w:left="0" w:leftChars="0" w:firstLine="0" w:firstLineChars="0"/>
        <w:rPr>
          <w:rFonts w:hint="eastAsia" w:cs="宋体" w:asciiTheme="minorEastAsia" w:hAnsiTheme="minorEastAsia"/>
          <w:lang w:val="en-US" w:eastAsia="zh-CN"/>
        </w:rPr>
      </w:pPr>
    </w:p>
    <w:p>
      <w:pPr>
        <w:ind w:left="0" w:leftChars="0" w:firstLine="0" w:firstLineChars="0"/>
        <w:rPr>
          <w:rFonts w:hint="eastAsia" w:cs="宋体" w:asciiTheme="minorEastAsia" w:hAnsiTheme="minorEastAsia"/>
          <w:lang w:val="en-US" w:eastAsia="zh-CN"/>
        </w:rPr>
      </w:pPr>
    </w:p>
    <w:p>
      <w:pPr>
        <w:ind w:left="0" w:leftChars="0" w:firstLine="0" w:firstLineChars="0"/>
        <w:rPr>
          <w:rFonts w:hint="eastAsia" w:cs="宋体" w:asciiTheme="minorEastAsia" w:hAnsi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隶书">
    <w:panose1 w:val="02010509060101010101"/>
    <w:charset w:val="86"/>
    <w:family w:val="modern"/>
    <w:pitch w:val="default"/>
    <w:sig w:usb0="00000001"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Arial Unicode MS">
    <w:altName w:val="Malgun Gothic Semilight"/>
    <w:panose1 w:val="020B0604020202020204"/>
    <w:charset w:val="86"/>
    <w:family w:val="swiss"/>
    <w:pitch w:val="default"/>
    <w:sig w:usb0="00000000" w:usb1="00000000" w:usb2="0000003F" w:usb3="00000000" w:csb0="003F01F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8CF3C52" w:usb2="00000016" w:usb3="00000000" w:csb0="0004001F" w:csb1="00000000"/>
  </w:font>
  <w:font w:name="MS Mincho">
    <w:altName w:val="Yu Mincho Demibold"/>
    <w:panose1 w:val="02020609040205080304"/>
    <w:charset w:val="80"/>
    <w:family w:val="roman"/>
    <w:pitch w:val="default"/>
    <w:sig w:usb0="00000000" w:usb1="00000000" w:usb2="00000010" w:usb3="00000000" w:csb0="00020000" w:csb1="00000000"/>
  </w:font>
  <w:font w:name="Malgun Gothic Semilight">
    <w:panose1 w:val="020B0502040204020203"/>
    <w:charset w:val="86"/>
    <w:family w:val="auto"/>
    <w:pitch w:val="default"/>
    <w:sig w:usb0="900002AF" w:usb1="01D77CFB" w:usb2="00000012" w:usb3="00000000" w:csb0="203E01BD" w:csb1="D7FF0000"/>
  </w:font>
  <w:font w:name="Yu Mincho Demibold">
    <w:panose1 w:val="02020600000000000000"/>
    <w:charset w:val="80"/>
    <w:family w:val="auto"/>
    <w:pitch w:val="default"/>
    <w:sig w:usb0="800002E7" w:usb1="2AC7FCF0"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jc w:val="center"/>
    </w:pPr>
  </w:p>
  <w:p>
    <w:pPr>
      <w:pStyle w:val="5"/>
      <w:ind w:firstLineChars="1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55D3F"/>
    <w:multiLevelType w:val="singleLevel"/>
    <w:tmpl w:val="59255D3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2A418F"/>
    <w:rsid w:val="1192546A"/>
    <w:rsid w:val="188F58B4"/>
    <w:rsid w:val="1A936355"/>
    <w:rsid w:val="3A64041E"/>
    <w:rsid w:val="440A0A17"/>
    <w:rsid w:val="458E7909"/>
    <w:rsid w:val="4D28019B"/>
    <w:rsid w:val="5D074D6C"/>
    <w:rsid w:val="5D7A1647"/>
    <w:rsid w:val="79D864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454"/>
      <w:jc w:val="both"/>
    </w:pPr>
    <w:rPr>
      <w:rFonts w:ascii="Times New Roman" w:hAnsi="Times New Roman" w:eastAsiaTheme="minorEastAsia" w:cstheme="minorBidi"/>
      <w:kern w:val="2"/>
      <w:sz w:val="24"/>
      <w:szCs w:val="21"/>
      <w:lang w:val="en-US" w:eastAsia="zh-CN" w:bidi="ar-SA"/>
    </w:rPr>
  </w:style>
  <w:style w:type="paragraph" w:styleId="2">
    <w:name w:val="heading 1"/>
    <w:basedOn w:val="1"/>
    <w:next w:val="1"/>
    <w:qFormat/>
    <w:uiPriority w:val="0"/>
    <w:pPr>
      <w:keepNext/>
      <w:keepLines/>
      <w:pageBreakBefore/>
      <w:spacing w:before="600" w:after="400"/>
      <w:ind w:firstLine="0" w:firstLineChars="0"/>
      <w:jc w:val="center"/>
      <w:outlineLvl w:val="0"/>
    </w:pPr>
    <w:rPr>
      <w:rFonts w:ascii="Arial" w:hAnsi="Arial" w:eastAsia="黑体"/>
      <w:bCs/>
      <w:kern w:val="44"/>
      <w:sz w:val="30"/>
      <w:szCs w:val="44"/>
    </w:rPr>
  </w:style>
  <w:style w:type="paragraph" w:styleId="3">
    <w:name w:val="heading 2"/>
    <w:basedOn w:val="1"/>
    <w:next w:val="1"/>
    <w:unhideWhenUsed/>
    <w:qFormat/>
    <w:uiPriority w:val="0"/>
    <w:pPr>
      <w:keepNext/>
      <w:keepLines/>
      <w:spacing w:before="500" w:after="240" w:line="360" w:lineRule="exact"/>
      <w:ind w:firstLine="0" w:firstLineChars="0"/>
      <w:outlineLvl w:val="1"/>
    </w:pPr>
    <w:rPr>
      <w:rFonts w:ascii="Arial" w:hAnsi="Arial" w:eastAsia="黑体"/>
      <w:bCs/>
      <w:sz w:val="28"/>
      <w:szCs w:val="32"/>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toc 3"/>
    <w:basedOn w:val="1"/>
    <w:next w:val="1"/>
    <w:uiPriority w:val="0"/>
    <w:pPr>
      <w:widowControl/>
      <w:tabs>
        <w:tab w:val="right" w:leader="dot" w:pos="8381"/>
      </w:tabs>
      <w:ind w:left="284" w:firstLine="0" w:firstLineChars="0"/>
      <w:jc w:val="left"/>
    </w:pPr>
    <w:rPr>
      <w:kern w:val="0"/>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toc 1"/>
    <w:basedOn w:val="1"/>
    <w:next w:val="1"/>
    <w:uiPriority w:val="0"/>
    <w:pPr>
      <w:widowControl/>
      <w:tabs>
        <w:tab w:val="left" w:pos="851"/>
        <w:tab w:val="right" w:leader="dot" w:pos="8381"/>
      </w:tabs>
      <w:spacing w:before="120"/>
      <w:ind w:firstLine="0" w:firstLineChars="0"/>
      <w:jc w:val="left"/>
    </w:pPr>
    <w:rPr>
      <w:rFonts w:eastAsia="黑体"/>
      <w:kern w:val="0"/>
    </w:rPr>
  </w:style>
  <w:style w:type="paragraph" w:styleId="7">
    <w:name w:val="toc 2"/>
    <w:basedOn w:val="1"/>
    <w:next w:val="1"/>
    <w:uiPriority w:val="0"/>
    <w:pPr>
      <w:widowControl/>
      <w:tabs>
        <w:tab w:val="right" w:leader="dot" w:pos="8364"/>
      </w:tabs>
      <w:ind w:left="227" w:firstLine="0" w:firstLineChars="0"/>
      <w:jc w:val="left"/>
    </w:pPr>
    <w:rPr>
      <w:kern w:val="0"/>
    </w:rPr>
  </w:style>
  <w:style w:type="character" w:styleId="9">
    <w:name w:val="Hyperlink"/>
    <w:uiPriority w:val="0"/>
    <w:rPr>
      <w:color w:val="0000FF"/>
      <w:u w:val="single"/>
    </w:rPr>
  </w:style>
  <w:style w:type="paragraph" w:customStyle="1" w:styleId="11">
    <w:name w:val="清华大学字样"/>
    <w:basedOn w:val="1"/>
    <w:qFormat/>
    <w:uiPriority w:val="99"/>
    <w:pPr>
      <w:widowControl/>
      <w:adjustRightInd w:val="0"/>
      <w:snapToGrid w:val="0"/>
      <w:spacing w:before="480"/>
      <w:ind w:firstLine="0"/>
      <w:jc w:val="center"/>
    </w:pPr>
    <w:rPr>
      <w:rFonts w:eastAsia="隶书" w:cs="Times New Roman"/>
      <w:sz w:val="52"/>
      <w:szCs w:val="52"/>
    </w:rPr>
  </w:style>
  <w:style w:type="paragraph" w:customStyle="1" w:styleId="12">
    <w:name w:val="综合论文训练"/>
    <w:basedOn w:val="1"/>
    <w:qFormat/>
    <w:uiPriority w:val="99"/>
    <w:pPr>
      <w:widowControl/>
      <w:adjustRightInd w:val="0"/>
      <w:snapToGrid w:val="0"/>
      <w:spacing w:before="600" w:line="480" w:lineRule="exact"/>
      <w:ind w:firstLine="0"/>
      <w:jc w:val="center"/>
    </w:pPr>
    <w:rPr>
      <w:rFonts w:eastAsia="黑体" w:cs="Times New Roman"/>
      <w:b/>
      <w:bCs/>
      <w:sz w:val="72"/>
      <w:szCs w:val="72"/>
    </w:rPr>
  </w:style>
  <w:style w:type="paragraph" w:customStyle="1" w:styleId="13">
    <w:name w:val="论文标题"/>
    <w:basedOn w:val="1"/>
    <w:qFormat/>
    <w:uiPriority w:val="99"/>
    <w:pPr>
      <w:widowControl/>
      <w:adjustRightInd w:val="0"/>
      <w:snapToGrid w:val="0"/>
      <w:spacing w:before="120" w:line="288" w:lineRule="auto"/>
      <w:ind w:firstLine="0"/>
      <w:jc w:val="center"/>
    </w:pPr>
    <w:rPr>
      <w:rFonts w:eastAsia="黑体" w:cs="Times New Roman"/>
      <w:sz w:val="52"/>
      <w:szCs w:val="52"/>
    </w:rPr>
  </w:style>
  <w:style w:type="paragraph" w:customStyle="1" w:styleId="14">
    <w:name w:val="姓名"/>
    <w:basedOn w:val="1"/>
    <w:qFormat/>
    <w:uiPriority w:val="99"/>
    <w:pPr>
      <w:widowControl/>
      <w:adjustRightInd w:val="0"/>
      <w:snapToGrid w:val="0"/>
      <w:spacing w:before="120" w:after="120" w:line="360" w:lineRule="auto"/>
      <w:ind w:left="1701" w:firstLine="0"/>
      <w:jc w:val="left"/>
    </w:pPr>
    <w:rPr>
      <w:rFonts w:ascii="宋体" w:hAnsi="宋体" w:eastAsia="仿宋_GB2312" w:cs="宋体"/>
      <w:sz w:val="32"/>
      <w:szCs w:val="32"/>
    </w:rPr>
  </w:style>
  <w:style w:type="paragraph" w:customStyle="1" w:styleId="15">
    <w:name w:val="封面_时间"/>
    <w:basedOn w:val="1"/>
    <w:qFormat/>
    <w:uiPriority w:val="0"/>
    <w:pPr>
      <w:widowControl/>
      <w:adjustRightInd w:val="0"/>
      <w:snapToGrid w:val="0"/>
      <w:spacing w:before="120"/>
      <w:ind w:firstLine="0"/>
      <w:jc w:val="center"/>
    </w:pPr>
    <w:rPr>
      <w:rFonts w:eastAsia="宋体" w:cs="Times New Roman"/>
      <w:szCs w:val="24"/>
    </w:rPr>
  </w:style>
  <w:style w:type="paragraph" w:customStyle="1" w:styleId="16">
    <w:name w:val="List Paragraph"/>
    <w:basedOn w:val="1"/>
    <w:qFormat/>
    <w:uiPriority w:val="34"/>
    <w:pPr>
      <w:ind w:firstLine="420"/>
    </w:pPr>
  </w:style>
  <w:style w:type="paragraph" w:customStyle="1" w:styleId="17">
    <w:name w:val="参考文献"/>
    <w:basedOn w:val="1"/>
    <w:qFormat/>
    <w:uiPriority w:val="0"/>
    <w:pPr>
      <w:pageBreakBefore/>
      <w:spacing w:before="1000" w:after="400"/>
      <w:ind w:firstLine="198" w:firstLineChars="0"/>
      <w:jc w:val="center"/>
    </w:pPr>
    <w:rPr>
      <w:rFonts w:ascii="黑体" w:hAnsi="黑体" w:eastAsia="黑体"/>
      <w:sz w:val="30"/>
      <w:szCs w:val="30"/>
    </w:rPr>
  </w:style>
  <w:style w:type="character" w:customStyle="1" w:styleId="18">
    <w:name w:val="apple-style-span"/>
    <w:basedOn w:val="8"/>
    <w:qFormat/>
    <w:uiPriority w:val="0"/>
  </w:style>
  <w:style w:type="character" w:customStyle="1" w:styleId="19">
    <w:name w:val="apple-converted-space"/>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2017-05-24T10:36:59Z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