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NYT 2025 Mass Shooting Coverage: Alabama vs Arizona</w:t>
      </w:r>
    </w:p>
    <w:p>
      <w:pPr>
        <w:pStyle w:val="Heading1"/>
      </w:pPr>
      <w:r>
        <w:rPr>
          <w:rFonts w:ascii="Calibri" w:hAnsi="Calibri"/>
        </w:rPr>
        <w:t>Executive Summary</w:t>
      </w:r>
    </w:p>
    <w:p>
      <w:r>
        <w:rPr>
          <w:rFonts w:ascii="Calibri" w:hAnsi="Calibri"/>
        </w:rPr>
        <w:t>The analysis of New York Times coverage of mass shootings in Alabama and Arizona during the specified date range reveals a notable absence of reported events in both states despite differing total shooting incidents. Alabama experienced a higher number of total shootings compared to Arizona, yet neither state had any associated New York Times articles, indicating a lack of media coverage for these incidents.</w:t>
      </w:r>
    </w:p>
    <w:p>
      <w:pPr>
        <w:pStyle w:val="Heading1"/>
      </w:pPr>
      <w:r>
        <w:rPr>
          <w:rFonts w:ascii="Calibri" w:hAnsi="Calibri"/>
        </w:rPr>
        <w:t>Comparative Findings</w:t>
      </w:r>
    </w:p>
    <w:p>
      <w:r>
        <w:rPr>
          <w:rFonts w:ascii="Calibri" w:hAnsi="Calibri"/>
        </w:rPr>
        <w:t>(a) Reporting Likelihood: Alabama recorded 11 total shootings, while Arizona had 7. Both states exhibited a reporting percentage of 0, indicating no coverage from the New York Times. The absolute difference in total shootings is 4, with Alabama having a 57% higher total than Arizona. Given that both states had no reported articles, the denominator effect renders the percentage reporting uninformative.</w:t>
        <w:br/>
        <w:t>(b) Coverage Intensity: Coverage duration statistics are not available for either state, as there were no articles published. This absence suggests that any potential coverage would have been brief, had it occurred, leading to a lack of sustained media attention on these events.</w:t>
        <w:br/>
        <w:t>(c) Distribution Pattern: The absence of articles in both states indicates that coverage is not concentrated in any single event, nor is it spread across multiple incidents. This lack of coverage results in summary statistics that lack stability and meaningful interpretation, as there are no data points to analyze.</w:t>
      </w:r>
    </w:p>
    <w:p>
      <w:pPr>
        <w:pStyle w:val="Heading1"/>
      </w:pPr>
      <w:r>
        <w:rPr>
          <w:rFonts w:ascii="Calibri" w:hAnsi="Calibri"/>
        </w:rPr>
        <w:t>Methodological Considerations</w:t>
      </w:r>
    </w:p>
    <w:p>
      <w:r>
        <w:rPr>
          <w:rFonts w:ascii="Calibri" w:hAnsi="Calibri"/>
        </w:rPr>
        <w:t>The small sample sizes in both states limit the robustness of the findings. The absence of articles despite the occurrence of shootings may reflect limitations in keyword-based matching for identifying relevant coverage. Consequently, no causal inferences can be drawn from the data. The lack of coverage metrics such as duration further complicates the analysis. Overall, the findings are constrained by the available data.</w:t>
      </w:r>
    </w:p>
    <w:p>
      <w:pPr>
        <w:pStyle w:val="Heading1"/>
      </w:pPr>
      <w:r>
        <w:rPr>
          <w:rFonts w:ascii="Calibri" w:hAnsi="Calibri"/>
        </w:rPr>
        <w:t>Further Information and Support</w:t>
      </w:r>
    </w:p>
    <w:p>
      <w:r>
        <w:rPr>
          <w:rFonts w:ascii="Calibri" w:hAnsi="Calibri"/>
        </w:rPr>
        <w:t>For more information on gun violence in America, readers can refer to resources such as the Gun Violence Archive and the Centers for Disease Control and Prevention, which provide data and research on this critical issue.</w:t>
      </w:r>
    </w:p>
    <w:p>
      <w:pPr>
        <w:pStyle w:val="Heading1"/>
      </w:pPr>
      <w:r>
        <w:rPr>
          <w:rFonts w:ascii="Calibri" w:hAnsi="Calibri"/>
        </w:rPr>
        <w:t>Statistical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rPr>
              <w:t>Metric</w:t>
            </w:r>
          </w:p>
        </w:tc>
        <w:tc>
          <w:tcPr>
            <w:tcW w:type="dxa" w:w="2880"/>
          </w:tcPr>
          <w:p>
            <w:r>
              <w:rPr>
                <w:rFonts w:ascii="Calibri" w:hAnsi="Calibri"/>
              </w:rPr>
              <w:t>Alabama</w:t>
            </w:r>
          </w:p>
        </w:tc>
        <w:tc>
          <w:tcPr>
            <w:tcW w:type="dxa" w:w="2880"/>
          </w:tcPr>
          <w:p>
            <w:r>
              <w:rPr>
                <w:rFonts w:ascii="Calibri" w:hAnsi="Calibri"/>
              </w:rPr>
              <w:t>Arizona</w:t>
            </w:r>
          </w:p>
        </w:tc>
      </w:tr>
      <w:tr>
        <w:tc>
          <w:tcPr>
            <w:tcW w:type="dxa" w:w="2880"/>
          </w:tcPr>
          <w:p>
            <w:r>
              <w:rPr>
                <w:rFonts w:ascii="Calibri" w:hAnsi="Calibri"/>
              </w:rPr>
              <w:t>Total mass shootings (2025)</w:t>
            </w:r>
          </w:p>
        </w:tc>
        <w:tc>
          <w:tcPr>
            <w:tcW w:type="dxa" w:w="2880"/>
          </w:tcPr>
          <w:p>
            <w:r>
              <w:rPr>
                <w:rFonts w:ascii="Calibri" w:hAnsi="Calibri"/>
              </w:rPr>
              <w:t>11</w:t>
            </w:r>
          </w:p>
        </w:tc>
        <w:tc>
          <w:tcPr>
            <w:tcW w:type="dxa" w:w="2880"/>
          </w:tcPr>
          <w:p>
            <w:r>
              <w:rPr>
                <w:rFonts w:ascii="Calibri" w:hAnsi="Calibri"/>
              </w:rPr>
              <w:t>7</w:t>
            </w:r>
          </w:p>
        </w:tc>
      </w:tr>
      <w:tr>
        <w:tc>
          <w:tcPr>
            <w:tcW w:type="dxa" w:w="2880"/>
          </w:tcPr>
          <w:p>
            <w:r>
              <w:rPr>
                <w:rFonts w:ascii="Calibri" w:hAnsi="Calibri"/>
              </w:rPr>
              <w:t>Events with ≥1 NYT article</w:t>
            </w:r>
          </w:p>
        </w:tc>
        <w:tc>
          <w:tcPr>
            <w:tcW w:type="dxa" w:w="2880"/>
          </w:tcPr>
          <w:p>
            <w:r>
              <w:rPr>
                <w:rFonts w:ascii="Calibri" w:hAnsi="Calibri"/>
              </w:rPr>
              <w:t>0</w:t>
            </w:r>
          </w:p>
        </w:tc>
        <w:tc>
          <w:tcPr>
            <w:tcW w:type="dxa" w:w="2880"/>
          </w:tcPr>
          <w:p>
            <w:r>
              <w:rPr>
                <w:rFonts w:ascii="Calibri" w:hAnsi="Calibri"/>
              </w:rPr>
              <w:t>0</w:t>
            </w:r>
          </w:p>
        </w:tc>
      </w:tr>
      <w:tr>
        <w:tc>
          <w:tcPr>
            <w:tcW w:type="dxa" w:w="2880"/>
          </w:tcPr>
          <w:p>
            <w:r>
              <w:rPr>
                <w:rFonts w:ascii="Calibri" w:hAnsi="Calibri"/>
              </w:rPr>
              <w:t>% reported by NYT</w:t>
            </w:r>
          </w:p>
        </w:tc>
        <w:tc>
          <w:tcPr>
            <w:tcW w:type="dxa" w:w="2880"/>
          </w:tcPr>
          <w:p>
            <w:r>
              <w:rPr>
                <w:rFonts w:ascii="Calibri" w:hAnsi="Calibri"/>
              </w:rPr>
              <w:t>0%</w:t>
            </w:r>
          </w:p>
        </w:tc>
        <w:tc>
          <w:tcPr>
            <w:tcW w:type="dxa" w:w="2880"/>
          </w:tcPr>
          <w:p>
            <w:r>
              <w:rPr>
                <w:rFonts w:ascii="Calibri" w:hAnsi="Calibri"/>
              </w:rPr>
              <w:t>0%</w:t>
            </w:r>
          </w:p>
        </w:tc>
      </w:tr>
      <w:tr>
        <w:tc>
          <w:tcPr>
            <w:tcW w:type="dxa" w:w="2880"/>
          </w:tcPr>
          <w:p>
            <w:r>
              <w:rPr>
                <w:rFonts w:ascii="Calibri" w:hAnsi="Calibri"/>
              </w:rPr>
              <w:t>Coverage duration (days) — min</w:t>
            </w:r>
          </w:p>
        </w:tc>
        <w:tc>
          <w:tcPr>
            <w:tcW w:type="dxa" w:w="2880"/>
          </w:tcPr>
          <w:p>
            <w:r>
              <w:rPr>
                <w:rFonts w:ascii="Calibri" w:hAnsi="Calibri"/>
              </w:rPr>
              <w:t>—</w:t>
            </w:r>
          </w:p>
        </w:tc>
        <w:tc>
          <w:tcPr>
            <w:tcW w:type="dxa" w:w="2880"/>
          </w:tcPr>
          <w:p>
            <w:r>
              <w:rPr>
                <w:rFonts w:ascii="Calibri" w:hAnsi="Calibri"/>
              </w:rPr>
              <w:t>—</w:t>
            </w:r>
          </w:p>
        </w:tc>
      </w:tr>
      <w:tr>
        <w:tc>
          <w:tcPr>
            <w:tcW w:type="dxa" w:w="2880"/>
          </w:tcPr>
          <w:p>
            <w:r>
              <w:rPr>
                <w:rFonts w:ascii="Calibri" w:hAnsi="Calibri"/>
              </w:rPr>
              <w:t>Coverage duration (days) — max</w:t>
            </w:r>
          </w:p>
        </w:tc>
        <w:tc>
          <w:tcPr>
            <w:tcW w:type="dxa" w:w="2880"/>
          </w:tcPr>
          <w:p>
            <w:r>
              <w:rPr>
                <w:rFonts w:ascii="Calibri" w:hAnsi="Calibri"/>
              </w:rPr>
              <w:t>—</w:t>
            </w:r>
          </w:p>
        </w:tc>
        <w:tc>
          <w:tcPr>
            <w:tcW w:type="dxa" w:w="2880"/>
          </w:tcPr>
          <w:p>
            <w:r>
              <w:rPr>
                <w:rFonts w:ascii="Calibri" w:hAnsi="Calibri"/>
              </w:rPr>
              <w:t>—</w:t>
            </w:r>
          </w:p>
        </w:tc>
      </w:tr>
      <w:tr>
        <w:tc>
          <w:tcPr>
            <w:tcW w:type="dxa" w:w="2880"/>
          </w:tcPr>
          <w:p>
            <w:r>
              <w:rPr>
                <w:rFonts w:ascii="Calibri" w:hAnsi="Calibri"/>
              </w:rPr>
              <w:t>Coverage duration (days) — mean</w:t>
            </w:r>
          </w:p>
        </w:tc>
        <w:tc>
          <w:tcPr>
            <w:tcW w:type="dxa" w:w="2880"/>
          </w:tcPr>
          <w:p>
            <w:r>
              <w:rPr>
                <w:rFonts w:ascii="Calibri" w:hAnsi="Calibri"/>
              </w:rPr>
              <w:t>—</w:t>
            </w:r>
          </w:p>
        </w:tc>
        <w:tc>
          <w:tcPr>
            <w:tcW w:type="dxa" w:w="2880"/>
          </w:tcPr>
          <w:p>
            <w:r>
              <w:rPr>
                <w:rFonts w:ascii="Calibri" w:hAnsi="Calibri"/>
              </w:rPr>
              <w:t>—</w:t>
            </w:r>
          </w:p>
        </w:tc>
      </w:tr>
      <w:tr>
        <w:tc>
          <w:tcPr>
            <w:tcW w:type="dxa" w:w="2880"/>
          </w:tcPr>
          <w:p>
            <w:r>
              <w:rPr>
                <w:rFonts w:ascii="Calibri" w:hAnsi="Calibri"/>
              </w:rPr>
              <w:t>Coverage duration (days) — median</w:t>
            </w:r>
          </w:p>
        </w:tc>
        <w:tc>
          <w:tcPr>
            <w:tcW w:type="dxa" w:w="2880"/>
          </w:tcPr>
          <w:p>
            <w:r>
              <w:rPr>
                <w:rFonts w:ascii="Calibri" w:hAnsi="Calibri"/>
              </w:rPr>
              <w:t>—</w:t>
            </w:r>
          </w:p>
        </w:tc>
        <w:tc>
          <w:tcPr>
            <w:tcW w:type="dxa" w:w="2880"/>
          </w:tcPr>
          <w:p>
            <w:r>
              <w:rPr>
                <w:rFonts w:ascii="Calibri" w:hAnsi="Calibri"/>
              </w:rPr>
              <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