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NYT 2025 Mass Shooting Coverage: Louisiana vs Ohio</w:t>
      </w:r>
    </w:p>
    <w:p>
      <w:pPr>
        <w:pStyle w:val="Heading1"/>
      </w:pPr>
      <w:r>
        <w:rPr>
          <w:rFonts w:ascii="Calibri" w:hAnsi="Calibri"/>
        </w:rPr>
        <w:t>Executive Summary</w:t>
      </w:r>
    </w:p>
    <w:p>
      <w:r>
        <w:rPr>
          <w:rFonts w:ascii="Calibri" w:hAnsi="Calibri"/>
        </w:rPr>
        <w:t>The analysis of New York Times coverage of mass shootings in Louisiana and Ohio reveals notable differences in reporting likelihood and coverage intensity. While both states experienced a low percentage of reported events relative to total shootings, Louisiana exhibited a longer duration of coverage compared to Ohio.</w:t>
      </w:r>
    </w:p>
    <w:p>
      <w:pPr>
        <w:pStyle w:val="Heading1"/>
      </w:pPr>
      <w:r>
        <w:rPr>
          <w:rFonts w:ascii="Calibri" w:hAnsi="Calibri"/>
        </w:rPr>
        <w:t>Comparative Findings</w:t>
      </w:r>
    </w:p>
    <w:p>
      <w:r>
        <w:rPr>
          <w:rFonts w:ascii="Calibri" w:hAnsi="Calibri"/>
        </w:rPr>
        <w:t>(a) Reporting Likelihood: Louisiana recorded 16 total shootings with 1 event reported, resulting in a reporting percentage of 6. In contrast, Ohio had 22 total shootings with the same number of reported events, yielding a lower reporting percentage of 4. The absolute difference in percentage points is 2, indicating that Louisiana's reporting likelihood was relatively higher despite having fewer total events. The larger denominator in Ohio may obscure the significance of its lower reporting percentage.</w:t>
        <w:br/>
        <w:t>(b) Coverage Intensity: The coverage duration for Louisiana was consistent at 37 days across all metrics, indicating sustained attention to the reported event. Conversely, Ohio's coverage was limited to 1 day, suggesting a brief and potentially less impactful reporting period. This stark contrast highlights the difference in how each state’s events were perceived and reported.</w:t>
        <w:br/>
        <w:t>(c) Distribution Pattern: Both states had coverage concentrated in a single event, as each reported only one incident. This concentration affects summary statistics, as the mean and median for Louisiana are equal and reflect a stable estimate of coverage duration, while Ohio's single-day coverage results in a mean and median of 1, indicating a lack of variability and depth in reporting.</w:t>
      </w:r>
    </w:p>
    <w:p>
      <w:pPr>
        <w:pStyle w:val="Heading1"/>
      </w:pPr>
      <w:r>
        <w:rPr>
          <w:rFonts w:ascii="Calibri" w:hAnsi="Calibri"/>
        </w:rPr>
        <w:t>Methodological Considerations</w:t>
      </w:r>
    </w:p>
    <w:p>
      <w:r>
        <w:rPr>
          <w:rFonts w:ascii="Calibri" w:hAnsi="Calibri"/>
        </w:rPr>
        <w:t>The small sample sizes in both states limit the generalizability of the findings. The reliance on keyword-based matching for identifying articles may introduce biases in coverage assessment. Additionally, the absence of causal inference is critical, as the data does not provide insights into the reasons behind the reported events or their coverage. The analysis is strictly based on the provided data without external context. Caution is warranted in interpreting the implications of these findings.</w:t>
      </w:r>
    </w:p>
    <w:p>
      <w:pPr>
        <w:pStyle w:val="Heading1"/>
      </w:pPr>
      <w:r>
        <w:rPr>
          <w:rFonts w:ascii="Calibri" w:hAnsi="Calibri"/>
        </w:rPr>
        <w:t>Further Information and Support</w:t>
      </w:r>
    </w:p>
    <w:p>
      <w:r>
        <w:rPr>
          <w:rFonts w:ascii="Calibri" w:hAnsi="Calibri"/>
        </w:rPr>
        <w:t>For further information on gun violence in America, readers are encouraged to explore resources such as the Gun Violence Archive and academic publications that provide data-driven insights and analyses on this issue.</w:t>
      </w:r>
    </w:p>
    <w:p>
      <w:pPr>
        <w:pStyle w:val="Heading1"/>
      </w:pPr>
      <w:r>
        <w:rPr>
          <w:rFonts w:ascii="Calibri" w:hAnsi="Calibri"/>
        </w:rPr>
        <w:t>Statistical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rPr>
              <w:t>Metric</w:t>
            </w:r>
          </w:p>
        </w:tc>
        <w:tc>
          <w:tcPr>
            <w:tcW w:type="dxa" w:w="2880"/>
          </w:tcPr>
          <w:p>
            <w:r>
              <w:rPr>
                <w:rFonts w:ascii="Calibri" w:hAnsi="Calibri"/>
              </w:rPr>
              <w:t>Louisiana</w:t>
            </w:r>
          </w:p>
        </w:tc>
        <w:tc>
          <w:tcPr>
            <w:tcW w:type="dxa" w:w="2880"/>
          </w:tcPr>
          <w:p>
            <w:r>
              <w:rPr>
                <w:rFonts w:ascii="Calibri" w:hAnsi="Calibri"/>
              </w:rPr>
              <w:t>Ohio</w:t>
            </w:r>
          </w:p>
        </w:tc>
      </w:tr>
      <w:tr>
        <w:tc>
          <w:tcPr>
            <w:tcW w:type="dxa" w:w="2880"/>
          </w:tcPr>
          <w:p>
            <w:r>
              <w:rPr>
                <w:rFonts w:ascii="Calibri" w:hAnsi="Calibri"/>
              </w:rPr>
              <w:t>Total mass shootings (2025)</w:t>
            </w:r>
          </w:p>
        </w:tc>
        <w:tc>
          <w:tcPr>
            <w:tcW w:type="dxa" w:w="2880"/>
          </w:tcPr>
          <w:p>
            <w:r>
              <w:rPr>
                <w:rFonts w:ascii="Calibri" w:hAnsi="Calibri"/>
              </w:rPr>
              <w:t>16</w:t>
            </w:r>
          </w:p>
        </w:tc>
        <w:tc>
          <w:tcPr>
            <w:tcW w:type="dxa" w:w="2880"/>
          </w:tcPr>
          <w:p>
            <w:r>
              <w:rPr>
                <w:rFonts w:ascii="Calibri" w:hAnsi="Calibri"/>
              </w:rPr>
              <w:t>22</w:t>
            </w:r>
          </w:p>
        </w:tc>
      </w:tr>
      <w:tr>
        <w:tc>
          <w:tcPr>
            <w:tcW w:type="dxa" w:w="2880"/>
          </w:tcPr>
          <w:p>
            <w:r>
              <w:rPr>
                <w:rFonts w:ascii="Calibri" w:hAnsi="Calibri"/>
              </w:rPr>
              <w:t>Events with ≥1 NYT article</w:t>
            </w:r>
          </w:p>
        </w:tc>
        <w:tc>
          <w:tcPr>
            <w:tcW w:type="dxa" w:w="2880"/>
          </w:tcPr>
          <w:p>
            <w:r>
              <w:rPr>
                <w:rFonts w:ascii="Calibri" w:hAnsi="Calibri"/>
              </w:rPr>
              <w:t>1</w:t>
            </w:r>
          </w:p>
        </w:tc>
        <w:tc>
          <w:tcPr>
            <w:tcW w:type="dxa" w:w="2880"/>
          </w:tcPr>
          <w:p>
            <w:r>
              <w:rPr>
                <w:rFonts w:ascii="Calibri" w:hAnsi="Calibri"/>
              </w:rPr>
              <w:t>1</w:t>
            </w:r>
          </w:p>
        </w:tc>
      </w:tr>
      <w:tr>
        <w:tc>
          <w:tcPr>
            <w:tcW w:type="dxa" w:w="2880"/>
          </w:tcPr>
          <w:p>
            <w:r>
              <w:rPr>
                <w:rFonts w:ascii="Calibri" w:hAnsi="Calibri"/>
              </w:rPr>
              <w:t>% reported by NYT</w:t>
            </w:r>
          </w:p>
        </w:tc>
        <w:tc>
          <w:tcPr>
            <w:tcW w:type="dxa" w:w="2880"/>
          </w:tcPr>
          <w:p>
            <w:r>
              <w:rPr>
                <w:rFonts w:ascii="Calibri" w:hAnsi="Calibri"/>
              </w:rPr>
              <w:t>6%</w:t>
            </w:r>
          </w:p>
        </w:tc>
        <w:tc>
          <w:tcPr>
            <w:tcW w:type="dxa" w:w="2880"/>
          </w:tcPr>
          <w:p>
            <w:r>
              <w:rPr>
                <w:rFonts w:ascii="Calibri" w:hAnsi="Calibri"/>
              </w:rPr>
              <w:t>4%</w:t>
            </w:r>
          </w:p>
        </w:tc>
      </w:tr>
      <w:tr>
        <w:tc>
          <w:tcPr>
            <w:tcW w:type="dxa" w:w="2880"/>
          </w:tcPr>
          <w:p>
            <w:r>
              <w:rPr>
                <w:rFonts w:ascii="Calibri" w:hAnsi="Calibri"/>
              </w:rPr>
              <w:t>Coverage duration (days) — min</w:t>
            </w:r>
          </w:p>
        </w:tc>
        <w:tc>
          <w:tcPr>
            <w:tcW w:type="dxa" w:w="2880"/>
          </w:tcPr>
          <w:p>
            <w:r>
              <w:rPr>
                <w:rFonts w:ascii="Calibri" w:hAnsi="Calibri"/>
              </w:rPr>
              <w:t>37</w:t>
            </w:r>
          </w:p>
        </w:tc>
        <w:tc>
          <w:tcPr>
            <w:tcW w:type="dxa" w:w="2880"/>
          </w:tcPr>
          <w:p>
            <w:r>
              <w:rPr>
                <w:rFonts w:ascii="Calibri" w:hAnsi="Calibri"/>
              </w:rPr>
              <w:t>1</w:t>
            </w:r>
          </w:p>
        </w:tc>
      </w:tr>
      <w:tr>
        <w:tc>
          <w:tcPr>
            <w:tcW w:type="dxa" w:w="2880"/>
          </w:tcPr>
          <w:p>
            <w:r>
              <w:rPr>
                <w:rFonts w:ascii="Calibri" w:hAnsi="Calibri"/>
              </w:rPr>
              <w:t>Coverage duration (days) — max</w:t>
            </w:r>
          </w:p>
        </w:tc>
        <w:tc>
          <w:tcPr>
            <w:tcW w:type="dxa" w:w="2880"/>
          </w:tcPr>
          <w:p>
            <w:r>
              <w:rPr>
                <w:rFonts w:ascii="Calibri" w:hAnsi="Calibri"/>
              </w:rPr>
              <w:t>37</w:t>
            </w:r>
          </w:p>
        </w:tc>
        <w:tc>
          <w:tcPr>
            <w:tcW w:type="dxa" w:w="2880"/>
          </w:tcPr>
          <w:p>
            <w:r>
              <w:rPr>
                <w:rFonts w:ascii="Calibri" w:hAnsi="Calibri"/>
              </w:rPr>
              <w:t>1</w:t>
            </w:r>
          </w:p>
        </w:tc>
      </w:tr>
      <w:tr>
        <w:tc>
          <w:tcPr>
            <w:tcW w:type="dxa" w:w="2880"/>
          </w:tcPr>
          <w:p>
            <w:r>
              <w:rPr>
                <w:rFonts w:ascii="Calibri" w:hAnsi="Calibri"/>
              </w:rPr>
              <w:t>Coverage duration (days) — mean</w:t>
            </w:r>
          </w:p>
        </w:tc>
        <w:tc>
          <w:tcPr>
            <w:tcW w:type="dxa" w:w="2880"/>
          </w:tcPr>
          <w:p>
            <w:r>
              <w:rPr>
                <w:rFonts w:ascii="Calibri" w:hAnsi="Calibri"/>
              </w:rPr>
              <w:t>37</w:t>
            </w:r>
          </w:p>
        </w:tc>
        <w:tc>
          <w:tcPr>
            <w:tcW w:type="dxa" w:w="2880"/>
          </w:tcPr>
          <w:p>
            <w:r>
              <w:rPr>
                <w:rFonts w:ascii="Calibri" w:hAnsi="Calibri"/>
              </w:rPr>
              <w:t>1</w:t>
            </w:r>
          </w:p>
        </w:tc>
      </w:tr>
      <w:tr>
        <w:tc>
          <w:tcPr>
            <w:tcW w:type="dxa" w:w="2880"/>
          </w:tcPr>
          <w:p>
            <w:r>
              <w:rPr>
                <w:rFonts w:ascii="Calibri" w:hAnsi="Calibri"/>
              </w:rPr>
              <w:t>Coverage duration (days) — median</w:t>
            </w:r>
          </w:p>
        </w:tc>
        <w:tc>
          <w:tcPr>
            <w:tcW w:type="dxa" w:w="2880"/>
          </w:tcPr>
          <w:p>
            <w:r>
              <w:rPr>
                <w:rFonts w:ascii="Calibri" w:hAnsi="Calibri"/>
              </w:rPr>
              <w:t>37</w:t>
            </w:r>
          </w:p>
        </w:tc>
        <w:tc>
          <w:tcPr>
            <w:tcW w:type="dxa" w:w="2880"/>
          </w:tcPr>
          <w:p>
            <w:r>
              <w:rPr>
                <w:rFonts w:ascii="Calibri" w:hAnsi="Calibri"/>
              </w:rP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