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NYT 2025 Mass Shooting Coverage: Ohio vs Louisiana</w:t>
      </w:r>
    </w:p>
    <w:p>
      <w:pPr>
        <w:pStyle w:val="Heading1"/>
      </w:pPr>
      <w:r>
        <w:rPr>
          <w:rFonts w:ascii="Calibri" w:hAnsi="Calibri"/>
        </w:rPr>
        <w:t>Executive Summary</w:t>
      </w:r>
    </w:p>
    <w:p>
      <w:r>
        <w:rPr>
          <w:rFonts w:ascii="Calibri" w:hAnsi="Calibri"/>
        </w:rPr>
        <w:t>The analysis of New York Times coverage of mass shootings in Ohio and Louisiana reveals notable differences in reporting frequency and coverage duration. While Ohio experienced a higher total number of shootings, Louisiana's coverage was more sustained despite fewer incidents.</w:t>
      </w:r>
    </w:p>
    <w:p>
      <w:pPr>
        <w:pStyle w:val="Heading1"/>
      </w:pPr>
      <w:r>
        <w:rPr>
          <w:rFonts w:ascii="Calibri" w:hAnsi="Calibri"/>
        </w:rPr>
        <w:t>Comparative Findings</w:t>
      </w:r>
    </w:p>
    <w:p>
      <w:r>
        <w:rPr>
          <w:rFonts w:ascii="Calibri" w:hAnsi="Calibri"/>
        </w:rPr>
        <w:t>(a) Reporting Likelihood: Ohio recorded 22 total shootings with 1 event reported by the New York Times, resulting in a reporting percentage of 4. In contrast, Louisiana had 16 total shootings, also with 1 event reported, yielding a higher reporting percentage of 6. The absolute difference in percentage points is 2, indicating that Louisiana had a relatively higher likelihood of coverage despite fewer total incidents. The larger denominator in Ohio suggests that the lower percentage may reflect a broader context of events rather than a lack of significance in the covered event.</w:t>
        <w:br/>
        <w:t>(b) Coverage Intensity: The coverage duration in Ohio was uniform, with a minimum, maximum, mean, and median of 1 day, indicating very brief reporting. Conversely, Louisiana's coverage lasted 37 days across all metrics, suggesting a more sustained engagement with the event. This stark contrast highlights that while Ohio had more incidents, the coverage was less intense.</w:t>
        <w:br/>
        <w:t>(c) Distribution Pattern: Both states had coverage concentrated in a single event, as indicated by the singular reported article for each state. This concentration affects summary statistics, as the mean and median for Ohio are identical and low, while Louisiana's statistics reflect a stable and prolonged coverage duration. The singular nature of coverage in both states limits the variability and robustness of the reporting metrics.</w:t>
      </w:r>
    </w:p>
    <w:p>
      <w:pPr>
        <w:pStyle w:val="Heading1"/>
      </w:pPr>
      <w:r>
        <w:rPr>
          <w:rFonts w:ascii="Calibri" w:hAnsi="Calibri"/>
        </w:rPr>
        <w:t>Methodological Considerations</w:t>
      </w:r>
    </w:p>
    <w:p>
      <w:r>
        <w:rPr>
          <w:rFonts w:ascii="Calibri" w:hAnsi="Calibri"/>
        </w:rPr>
        <w:t>The sample sizes for reported shootings are relatively small, which may limit the generalizability of findings. The analysis is based on keyword-based matching of articles, which may not capture all relevant coverage. Additionally, the lack of causal inference is essential to note, as the data does not imply relationships between shootings and reporting behavior. The focus remains strictly on the observed data without external context. Future analyses should consider larger datasets for more comprehensive insights.</w:t>
      </w:r>
    </w:p>
    <w:p>
      <w:pPr>
        <w:pStyle w:val="Heading1"/>
      </w:pPr>
      <w:r>
        <w:rPr>
          <w:rFonts w:ascii="Calibri" w:hAnsi="Calibri"/>
        </w:rPr>
        <w:t>Further Information and Support</w:t>
      </w:r>
    </w:p>
    <w:p>
      <w:r>
        <w:rPr>
          <w:rFonts w:ascii="Calibri" w:hAnsi="Calibri"/>
        </w:rPr>
        <w:t>For more information on gun violence in America, readers can consult resources such as the Gun Violence Archive, the Centers for Disease Control and Prevention, and various academic studies that provide evidence-based insights into the issue.</w:t>
      </w:r>
    </w:p>
    <w:p>
      <w:pPr>
        <w:pStyle w:val="Heading1"/>
      </w:pPr>
      <w:r>
        <w:rPr>
          <w:rFonts w:ascii="Calibri" w:hAnsi="Calibri"/>
        </w:rPr>
        <w:t>Statistical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rPr>
              <w:t>Metric</w:t>
            </w:r>
          </w:p>
        </w:tc>
        <w:tc>
          <w:tcPr>
            <w:tcW w:type="dxa" w:w="2880"/>
          </w:tcPr>
          <w:p>
            <w:r>
              <w:rPr>
                <w:rFonts w:ascii="Calibri" w:hAnsi="Calibri"/>
              </w:rPr>
              <w:t>Ohio</w:t>
            </w:r>
          </w:p>
        </w:tc>
        <w:tc>
          <w:tcPr>
            <w:tcW w:type="dxa" w:w="2880"/>
          </w:tcPr>
          <w:p>
            <w:r>
              <w:rPr>
                <w:rFonts w:ascii="Calibri" w:hAnsi="Calibri"/>
              </w:rPr>
              <w:t>Louisiana</w:t>
            </w:r>
          </w:p>
        </w:tc>
      </w:tr>
      <w:tr>
        <w:tc>
          <w:tcPr>
            <w:tcW w:type="dxa" w:w="2880"/>
          </w:tcPr>
          <w:p>
            <w:r>
              <w:rPr>
                <w:rFonts w:ascii="Calibri" w:hAnsi="Calibri"/>
              </w:rPr>
              <w:t>Total mass shootings (2025)</w:t>
            </w:r>
          </w:p>
        </w:tc>
        <w:tc>
          <w:tcPr>
            <w:tcW w:type="dxa" w:w="2880"/>
          </w:tcPr>
          <w:p>
            <w:r>
              <w:rPr>
                <w:rFonts w:ascii="Calibri" w:hAnsi="Calibri"/>
              </w:rPr>
              <w:t>22</w:t>
            </w:r>
          </w:p>
        </w:tc>
        <w:tc>
          <w:tcPr>
            <w:tcW w:type="dxa" w:w="2880"/>
          </w:tcPr>
          <w:p>
            <w:r>
              <w:rPr>
                <w:rFonts w:ascii="Calibri" w:hAnsi="Calibri"/>
              </w:rPr>
              <w:t>16</w:t>
            </w:r>
          </w:p>
        </w:tc>
      </w:tr>
      <w:tr>
        <w:tc>
          <w:tcPr>
            <w:tcW w:type="dxa" w:w="2880"/>
          </w:tcPr>
          <w:p>
            <w:r>
              <w:rPr>
                <w:rFonts w:ascii="Calibri" w:hAnsi="Calibri"/>
              </w:rPr>
              <w:t>Events with ≥1 NYT article</w:t>
            </w:r>
          </w:p>
        </w:tc>
        <w:tc>
          <w:tcPr>
            <w:tcW w:type="dxa" w:w="2880"/>
          </w:tcPr>
          <w:p>
            <w:r>
              <w:rPr>
                <w:rFonts w:ascii="Calibri" w:hAnsi="Calibri"/>
              </w:rPr>
              <w:t>1</w:t>
            </w:r>
          </w:p>
        </w:tc>
        <w:tc>
          <w:tcPr>
            <w:tcW w:type="dxa" w:w="2880"/>
          </w:tcPr>
          <w:p>
            <w:r>
              <w:rPr>
                <w:rFonts w:ascii="Calibri" w:hAnsi="Calibri"/>
              </w:rPr>
              <w:t>1</w:t>
            </w:r>
          </w:p>
        </w:tc>
      </w:tr>
      <w:tr>
        <w:tc>
          <w:tcPr>
            <w:tcW w:type="dxa" w:w="2880"/>
          </w:tcPr>
          <w:p>
            <w:r>
              <w:rPr>
                <w:rFonts w:ascii="Calibri" w:hAnsi="Calibri"/>
              </w:rPr>
              <w:t>% reported by NYT</w:t>
            </w:r>
          </w:p>
        </w:tc>
        <w:tc>
          <w:tcPr>
            <w:tcW w:type="dxa" w:w="2880"/>
          </w:tcPr>
          <w:p>
            <w:r>
              <w:rPr>
                <w:rFonts w:ascii="Calibri" w:hAnsi="Calibri"/>
              </w:rPr>
              <w:t>4%</w:t>
            </w:r>
          </w:p>
        </w:tc>
        <w:tc>
          <w:tcPr>
            <w:tcW w:type="dxa" w:w="2880"/>
          </w:tcPr>
          <w:p>
            <w:r>
              <w:rPr>
                <w:rFonts w:ascii="Calibri" w:hAnsi="Calibri"/>
              </w:rPr>
              <w:t>6%</w:t>
            </w:r>
          </w:p>
        </w:tc>
      </w:tr>
      <w:tr>
        <w:tc>
          <w:tcPr>
            <w:tcW w:type="dxa" w:w="2880"/>
          </w:tcPr>
          <w:p>
            <w:r>
              <w:rPr>
                <w:rFonts w:ascii="Calibri" w:hAnsi="Calibri"/>
              </w:rPr>
              <w:t>Coverage duration (days) — min</w:t>
            </w:r>
          </w:p>
        </w:tc>
        <w:tc>
          <w:tcPr>
            <w:tcW w:type="dxa" w:w="2880"/>
          </w:tcPr>
          <w:p>
            <w:r>
              <w:rPr>
                <w:rFonts w:ascii="Calibri" w:hAnsi="Calibri"/>
              </w:rPr>
              <w:t>1</w:t>
            </w:r>
          </w:p>
        </w:tc>
        <w:tc>
          <w:tcPr>
            <w:tcW w:type="dxa" w:w="2880"/>
          </w:tcPr>
          <w:p>
            <w:r>
              <w:rPr>
                <w:rFonts w:ascii="Calibri" w:hAnsi="Calibri"/>
              </w:rPr>
              <w:t>37</w:t>
            </w:r>
          </w:p>
        </w:tc>
      </w:tr>
      <w:tr>
        <w:tc>
          <w:tcPr>
            <w:tcW w:type="dxa" w:w="2880"/>
          </w:tcPr>
          <w:p>
            <w:r>
              <w:rPr>
                <w:rFonts w:ascii="Calibri" w:hAnsi="Calibri"/>
              </w:rPr>
              <w:t>Coverage duration (days) — max</w:t>
            </w:r>
          </w:p>
        </w:tc>
        <w:tc>
          <w:tcPr>
            <w:tcW w:type="dxa" w:w="2880"/>
          </w:tcPr>
          <w:p>
            <w:r>
              <w:rPr>
                <w:rFonts w:ascii="Calibri" w:hAnsi="Calibri"/>
              </w:rPr>
              <w:t>1</w:t>
            </w:r>
          </w:p>
        </w:tc>
        <w:tc>
          <w:tcPr>
            <w:tcW w:type="dxa" w:w="2880"/>
          </w:tcPr>
          <w:p>
            <w:r>
              <w:rPr>
                <w:rFonts w:ascii="Calibri" w:hAnsi="Calibri"/>
              </w:rPr>
              <w:t>37</w:t>
            </w:r>
          </w:p>
        </w:tc>
      </w:tr>
      <w:tr>
        <w:tc>
          <w:tcPr>
            <w:tcW w:type="dxa" w:w="2880"/>
          </w:tcPr>
          <w:p>
            <w:r>
              <w:rPr>
                <w:rFonts w:ascii="Calibri" w:hAnsi="Calibri"/>
              </w:rPr>
              <w:t>Coverage duration (days) — mean</w:t>
            </w:r>
          </w:p>
        </w:tc>
        <w:tc>
          <w:tcPr>
            <w:tcW w:type="dxa" w:w="2880"/>
          </w:tcPr>
          <w:p>
            <w:r>
              <w:rPr>
                <w:rFonts w:ascii="Calibri" w:hAnsi="Calibri"/>
              </w:rPr>
              <w:t>1</w:t>
            </w:r>
          </w:p>
        </w:tc>
        <w:tc>
          <w:tcPr>
            <w:tcW w:type="dxa" w:w="2880"/>
          </w:tcPr>
          <w:p>
            <w:r>
              <w:rPr>
                <w:rFonts w:ascii="Calibri" w:hAnsi="Calibri"/>
              </w:rPr>
              <w:t>37</w:t>
            </w:r>
          </w:p>
        </w:tc>
      </w:tr>
      <w:tr>
        <w:tc>
          <w:tcPr>
            <w:tcW w:type="dxa" w:w="2880"/>
          </w:tcPr>
          <w:p>
            <w:r>
              <w:rPr>
                <w:rFonts w:ascii="Calibri" w:hAnsi="Calibri"/>
              </w:rPr>
              <w:t>Coverage duration (days) — median</w:t>
            </w:r>
          </w:p>
        </w:tc>
        <w:tc>
          <w:tcPr>
            <w:tcW w:type="dxa" w:w="2880"/>
          </w:tcPr>
          <w:p>
            <w:r>
              <w:rPr>
                <w:rFonts w:ascii="Calibri" w:hAnsi="Calibri"/>
              </w:rPr>
              <w:t>1</w:t>
            </w:r>
          </w:p>
        </w:tc>
        <w:tc>
          <w:tcPr>
            <w:tcW w:type="dxa" w:w="2880"/>
          </w:tcPr>
          <w:p>
            <w:r>
              <w:rPr>
                <w:rFonts w:ascii="Calibri" w:hAnsi="Calibri"/>
              </w:rP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