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rPr>
        <w:t>NYT 2025 Mass Shooting Coverage: Alabama vs Arizona</w:t>
      </w:r>
    </w:p>
    <w:p>
      <w:pPr>
        <w:pStyle w:val="Heading1"/>
      </w:pPr>
      <w:r>
        <w:rPr>
          <w:rFonts w:ascii="Calibri" w:hAnsi="Calibri"/>
        </w:rPr>
        <w:t>Executive Summary</w:t>
      </w:r>
    </w:p>
    <w:p>
      <w:r>
        <w:rPr>
          <w:rFonts w:ascii="Calibri" w:hAnsi="Calibri"/>
        </w:rPr>
        <w:t>The analysis reveals that both Alabama and Arizona experienced an identical number of total shootings, yet neither state received any coverage from The New York Times during the specified period. This absence of reporting indicates a uniform lack of media engagement with mass shooting events in both states, despite the occurrence of four incidents each.</w:t>
      </w:r>
    </w:p>
    <w:p>
      <w:pPr>
        <w:pStyle w:val="Heading1"/>
      </w:pPr>
      <w:r>
        <w:rPr>
          <w:rFonts w:ascii="Calibri" w:hAnsi="Calibri"/>
        </w:rPr>
        <w:t>Comparative Findings</w:t>
      </w:r>
    </w:p>
    <w:p>
      <w:r>
        <w:rPr>
          <w:rFonts w:ascii="Calibri" w:hAnsi="Calibri"/>
        </w:rPr>
        <w:t>(a) Reporting Likelihood: Both Alabama and Arizona reported a total of 4 shootings, with 0 events covered by The New York Times, resulting in a reporting percentage of 0 for both states. The absolute difference in reported events is 0, and the relative difference in percentage points is also 0, indicating no disparity in media coverage. Given the total event count of 4, the absence of reporting in both states suggests a consistent pattern of non-coverage rather than a disparity in media attention.</w:t>
        <w:br/>
        <w:t>(b) Coverage Intensity: The coverage duration statistics are not applicable as there were no articles published for either state. Consequently, there are no metrics to assess the intensity or duration of coverage, rendering any analysis of coverage duration moot.</w:t>
        <w:br/>
        <w:t>(c) Distribution Pattern: Since there were no articles published in either state, the distribution of coverage cannot be assessed. The lack of coverage across all events implies that there is no concentration of reporting on any single incident, which further emphasizes the absence of media engagement in both states.</w:t>
      </w:r>
    </w:p>
    <w:p>
      <w:pPr>
        <w:pStyle w:val="Heading1"/>
      </w:pPr>
      <w:r>
        <w:rPr>
          <w:rFonts w:ascii="Calibri" w:hAnsi="Calibri"/>
        </w:rPr>
        <w:t>Methodological Considerations</w:t>
      </w:r>
    </w:p>
    <w:p>
      <w:r>
        <w:rPr>
          <w:rFonts w:ascii="Calibri" w:hAnsi="Calibri"/>
        </w:rPr>
        <w:t>The sample size for this analysis is limited to four shootings in each state, which may not provide a comprehensive view of media coverage patterns. Additionally, the reliance on keyword-based matching for identifying articles may overlook relevant coverage. The absence of reported articles prevents any causal inference regarding media engagement with mass shootings. The findings should be interpreted with caution due to the small dataset.</w:t>
      </w:r>
    </w:p>
    <w:p>
      <w:pPr>
        <w:pStyle w:val="Heading1"/>
      </w:pPr>
      <w:r>
        <w:rPr>
          <w:rFonts w:ascii="Calibri" w:hAnsi="Calibri"/>
        </w:rPr>
        <w:t>Further Information and Support</w:t>
      </w:r>
    </w:p>
    <w:p>
      <w:r>
        <w:rPr>
          <w:rFonts w:ascii="Calibri" w:hAnsi="Calibri"/>
        </w:rPr>
        <w:t>For more information on gun violence in America, readers can refer to resources such as the Gun Violence Archive, the Centers for Disease Control and Prevention, and academic publications that provide data and analysis on this issue.</w:t>
      </w:r>
    </w:p>
    <w:p>
      <w:pPr>
        <w:pStyle w:val="Heading1"/>
      </w:pPr>
      <w:r>
        <w:rPr>
          <w:rFonts w:ascii="Calibri" w:hAnsi="Calibri"/>
        </w:rPr>
        <w:t>Statistical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rPr>
              <w:t>Metric</w:t>
            </w:r>
          </w:p>
        </w:tc>
        <w:tc>
          <w:tcPr>
            <w:tcW w:type="dxa" w:w="2880"/>
          </w:tcPr>
          <w:p>
            <w:r>
              <w:rPr>
                <w:rFonts w:ascii="Calibri" w:hAnsi="Calibri"/>
              </w:rPr>
              <w:t>Alabama</w:t>
            </w:r>
          </w:p>
        </w:tc>
        <w:tc>
          <w:tcPr>
            <w:tcW w:type="dxa" w:w="2880"/>
          </w:tcPr>
          <w:p>
            <w:r>
              <w:rPr>
                <w:rFonts w:ascii="Calibri" w:hAnsi="Calibri"/>
              </w:rPr>
              <w:t>Arizona</w:t>
            </w:r>
          </w:p>
        </w:tc>
      </w:tr>
      <w:tr>
        <w:tc>
          <w:tcPr>
            <w:tcW w:type="dxa" w:w="2880"/>
          </w:tcPr>
          <w:p>
            <w:r>
              <w:rPr>
                <w:rFonts w:ascii="Calibri" w:hAnsi="Calibri"/>
              </w:rPr>
              <w:t>Total mass shootings (2025)</w:t>
            </w:r>
          </w:p>
        </w:tc>
        <w:tc>
          <w:tcPr>
            <w:tcW w:type="dxa" w:w="2880"/>
          </w:tcPr>
          <w:p>
            <w:r>
              <w:rPr>
                <w:rFonts w:ascii="Calibri" w:hAnsi="Calibri"/>
              </w:rPr>
              <w:t>4</w:t>
            </w:r>
          </w:p>
        </w:tc>
        <w:tc>
          <w:tcPr>
            <w:tcW w:type="dxa" w:w="2880"/>
          </w:tcPr>
          <w:p>
            <w:r>
              <w:rPr>
                <w:rFonts w:ascii="Calibri" w:hAnsi="Calibri"/>
              </w:rPr>
              <w:t>4</w:t>
            </w:r>
          </w:p>
        </w:tc>
      </w:tr>
      <w:tr>
        <w:tc>
          <w:tcPr>
            <w:tcW w:type="dxa" w:w="2880"/>
          </w:tcPr>
          <w:p>
            <w:r>
              <w:rPr>
                <w:rFonts w:ascii="Calibri" w:hAnsi="Calibri"/>
              </w:rPr>
              <w:t>Events with ≥1 NYT article</w:t>
            </w:r>
          </w:p>
        </w:tc>
        <w:tc>
          <w:tcPr>
            <w:tcW w:type="dxa" w:w="2880"/>
          </w:tcPr>
          <w:p>
            <w:r>
              <w:rPr>
                <w:rFonts w:ascii="Calibri" w:hAnsi="Calibri"/>
              </w:rPr>
              <w:t>0</w:t>
            </w:r>
          </w:p>
        </w:tc>
        <w:tc>
          <w:tcPr>
            <w:tcW w:type="dxa" w:w="2880"/>
          </w:tcPr>
          <w:p>
            <w:r>
              <w:rPr>
                <w:rFonts w:ascii="Calibri" w:hAnsi="Calibri"/>
              </w:rPr>
              <w:t>0</w:t>
            </w:r>
          </w:p>
        </w:tc>
      </w:tr>
      <w:tr>
        <w:tc>
          <w:tcPr>
            <w:tcW w:type="dxa" w:w="2880"/>
          </w:tcPr>
          <w:p>
            <w:r>
              <w:rPr>
                <w:rFonts w:ascii="Calibri" w:hAnsi="Calibri"/>
              </w:rPr>
              <w:t>% reported by NYT</w:t>
            </w:r>
          </w:p>
        </w:tc>
        <w:tc>
          <w:tcPr>
            <w:tcW w:type="dxa" w:w="2880"/>
          </w:tcPr>
          <w:p>
            <w:r>
              <w:rPr>
                <w:rFonts w:ascii="Calibri" w:hAnsi="Calibri"/>
              </w:rPr>
              <w:t>0%</w:t>
            </w:r>
          </w:p>
        </w:tc>
        <w:tc>
          <w:tcPr>
            <w:tcW w:type="dxa" w:w="2880"/>
          </w:tcPr>
          <w:p>
            <w:r>
              <w:rPr>
                <w:rFonts w:ascii="Calibri" w:hAnsi="Calibri"/>
              </w:rPr>
              <w:t>0%</w:t>
            </w:r>
          </w:p>
        </w:tc>
      </w:tr>
      <w:tr>
        <w:tc>
          <w:tcPr>
            <w:tcW w:type="dxa" w:w="2880"/>
          </w:tcPr>
          <w:p>
            <w:r>
              <w:rPr>
                <w:rFonts w:ascii="Calibri" w:hAnsi="Calibri"/>
              </w:rPr>
              <w:t>Coverage duration (days) — min</w:t>
            </w:r>
          </w:p>
        </w:tc>
        <w:tc>
          <w:tcPr>
            <w:tcW w:type="dxa" w:w="2880"/>
          </w:tcPr>
          <w:p>
            <w:r>
              <w:rPr>
                <w:rFonts w:ascii="Calibri" w:hAnsi="Calibri"/>
              </w:rPr>
              <w:t>—</w:t>
            </w:r>
          </w:p>
        </w:tc>
        <w:tc>
          <w:tcPr>
            <w:tcW w:type="dxa" w:w="2880"/>
          </w:tcPr>
          <w:p>
            <w:r>
              <w:rPr>
                <w:rFonts w:ascii="Calibri" w:hAnsi="Calibri"/>
              </w:rPr>
              <w:t>—</w:t>
            </w:r>
          </w:p>
        </w:tc>
      </w:tr>
      <w:tr>
        <w:tc>
          <w:tcPr>
            <w:tcW w:type="dxa" w:w="2880"/>
          </w:tcPr>
          <w:p>
            <w:r>
              <w:rPr>
                <w:rFonts w:ascii="Calibri" w:hAnsi="Calibri"/>
              </w:rPr>
              <w:t>Coverage duration (days) — max</w:t>
            </w:r>
          </w:p>
        </w:tc>
        <w:tc>
          <w:tcPr>
            <w:tcW w:type="dxa" w:w="2880"/>
          </w:tcPr>
          <w:p>
            <w:r>
              <w:rPr>
                <w:rFonts w:ascii="Calibri" w:hAnsi="Calibri"/>
              </w:rPr>
              <w:t>—</w:t>
            </w:r>
          </w:p>
        </w:tc>
        <w:tc>
          <w:tcPr>
            <w:tcW w:type="dxa" w:w="2880"/>
          </w:tcPr>
          <w:p>
            <w:r>
              <w:rPr>
                <w:rFonts w:ascii="Calibri" w:hAnsi="Calibri"/>
              </w:rPr>
              <w:t>—</w:t>
            </w:r>
          </w:p>
        </w:tc>
      </w:tr>
      <w:tr>
        <w:tc>
          <w:tcPr>
            <w:tcW w:type="dxa" w:w="2880"/>
          </w:tcPr>
          <w:p>
            <w:r>
              <w:rPr>
                <w:rFonts w:ascii="Calibri" w:hAnsi="Calibri"/>
              </w:rPr>
              <w:t>Coverage duration (days) — mean</w:t>
            </w:r>
          </w:p>
        </w:tc>
        <w:tc>
          <w:tcPr>
            <w:tcW w:type="dxa" w:w="2880"/>
          </w:tcPr>
          <w:p>
            <w:r>
              <w:rPr>
                <w:rFonts w:ascii="Calibri" w:hAnsi="Calibri"/>
              </w:rPr>
              <w:t>—</w:t>
            </w:r>
          </w:p>
        </w:tc>
        <w:tc>
          <w:tcPr>
            <w:tcW w:type="dxa" w:w="2880"/>
          </w:tcPr>
          <w:p>
            <w:r>
              <w:rPr>
                <w:rFonts w:ascii="Calibri" w:hAnsi="Calibri"/>
              </w:rPr>
              <w:t>—</w:t>
            </w:r>
          </w:p>
        </w:tc>
      </w:tr>
      <w:tr>
        <w:tc>
          <w:tcPr>
            <w:tcW w:type="dxa" w:w="2880"/>
          </w:tcPr>
          <w:p>
            <w:r>
              <w:rPr>
                <w:rFonts w:ascii="Calibri" w:hAnsi="Calibri"/>
              </w:rPr>
              <w:t>Coverage duration (days) — median</w:t>
            </w:r>
          </w:p>
        </w:tc>
        <w:tc>
          <w:tcPr>
            <w:tcW w:type="dxa" w:w="2880"/>
          </w:tcPr>
          <w:p>
            <w:r>
              <w:rPr>
                <w:rFonts w:ascii="Calibri" w:hAnsi="Calibri"/>
              </w:rPr>
              <w:t>—</w:t>
            </w:r>
          </w:p>
        </w:tc>
        <w:tc>
          <w:tcPr>
            <w:tcW w:type="dxa" w:w="2880"/>
          </w:tcPr>
          <w:p>
            <w:r>
              <w:rPr>
                <w:rFonts w:ascii="Calibri" w:hAnsi="Calibri"/>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