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rPr>
        <w:t>NYT 2025 Mass Shooting Coverage: Ohio vs Louisiana</w:t>
      </w:r>
    </w:p>
    <w:p>
      <w:pPr>
        <w:pStyle w:val="Heading1"/>
      </w:pPr>
      <w:r>
        <w:rPr>
          <w:rFonts w:ascii="Calibri" w:hAnsi="Calibri"/>
        </w:rPr>
        <w:t>Executive Summary</w:t>
      </w:r>
    </w:p>
    <w:p>
      <w:r>
        <w:rPr>
          <w:rFonts w:ascii="Calibri" w:hAnsi="Calibri"/>
        </w:rPr>
        <w:t>The analysis of New York Times coverage of mass shootings in Ohio and Louisiana reveals notable differences in reporting frequency and coverage duration. While both states experienced a single article covering mass shooting events, the disparity in total shootings and the percentage reported highlights contrasting media engagement with these incidents.</w:t>
      </w:r>
    </w:p>
    <w:p>
      <w:pPr>
        <w:pStyle w:val="Heading1"/>
      </w:pPr>
      <w:r>
        <w:rPr>
          <w:rFonts w:ascii="Calibri" w:hAnsi="Calibri"/>
        </w:rPr>
        <w:t>Comparative Findings</w:t>
      </w:r>
    </w:p>
    <w:p>
      <w:r>
        <w:rPr>
          <w:rFonts w:ascii="Calibri" w:hAnsi="Calibri"/>
        </w:rPr>
        <w:t>(a) Reporting Likelihood: Ohio recorded 2 total shootings with 1 event reported, resulting in a reporting percentage of 50. In contrast, Louisiana had 9 total shootings but only 1 event reported, yielding a reporting percentage of 11. The absolute difference in percentage points is 39, indicating that Ohio's shootings were reported at a significantly higher rate. The larger denominator in Louisiana's case (9 total events) diminishes the interpretability of the low reporting percentage, as it suggests a broader context of unreported incidents.</w:t>
        <w:br/>
        <w:t>(b) Coverage Intensity: The coverage duration for Ohio was consistently 1 day across all metrics, indicating brief media engagement. Conversely, Louisiana's coverage lasted 37 days, suggesting a more sustained reporting effort. The uniformity of Ohio's coverage duration contrasts sharply with Louisiana's extended engagement, reflecting differing intensities in media focus.</w:t>
        <w:br/>
        <w:t>(c) Distribution Pattern: In Ohio, the coverage is concentrated on a single event, which stabilizes the summary statistics and aligns the mean with the median at 1 day. Louisiana's coverage, while also focused on one event, is situated within a broader context of 9 total shootings, which may affect the perception of the event's significance despite the same number of articles. This concentration in Ohio leads to a more straightforward interpretation of coverage, while Louisiana's broader context complicates the narrative.</w:t>
      </w:r>
    </w:p>
    <w:p>
      <w:pPr>
        <w:pStyle w:val="Heading1"/>
      </w:pPr>
      <w:r>
        <w:rPr>
          <w:rFonts w:ascii="Calibri" w:hAnsi="Calibri"/>
        </w:rPr>
        <w:t>Methodological Considerations</w:t>
      </w:r>
    </w:p>
    <w:p>
      <w:r>
        <w:rPr>
          <w:rFonts w:ascii="Calibri" w:hAnsi="Calibri"/>
        </w:rPr>
        <w:t>The analysis is based on a limited sample size, with only two states and a small number of events considered. The reliance on keyword-based matching for article identification may introduce biases or overlook relevant coverage. The small number of shootings in Ohio and the larger number in Louisiana necessitate caution in drawing broad conclusions. No causal inferences are made, as the data only reflects reported events and corresponding media coverage.</w:t>
      </w:r>
    </w:p>
    <w:p>
      <w:pPr>
        <w:pStyle w:val="Heading1"/>
      </w:pPr>
      <w:r>
        <w:rPr>
          <w:rFonts w:ascii="Calibri" w:hAnsi="Calibri"/>
        </w:rPr>
        <w:t>Further Information and Support</w:t>
      </w:r>
    </w:p>
    <w:p>
      <w:r>
        <w:rPr>
          <w:rFonts w:ascii="Calibri" w:hAnsi="Calibri"/>
        </w:rPr>
        <w:t>For further information on gun violence in America, readers can consult resources such as the Gun Violence Archive, the Centers for Disease Control and Prevention, and various academic studies that provide data and evidence-based insights into this issue.</w:t>
      </w:r>
    </w:p>
    <w:p>
      <w:pPr>
        <w:pStyle w:val="Heading1"/>
      </w:pPr>
      <w:r>
        <w:rPr>
          <w:rFonts w:ascii="Calibri" w:hAnsi="Calibri"/>
        </w:rPr>
        <w:t>Statistical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rPr>
              <w:t>Metric</w:t>
            </w:r>
          </w:p>
        </w:tc>
        <w:tc>
          <w:tcPr>
            <w:tcW w:type="dxa" w:w="2880"/>
          </w:tcPr>
          <w:p>
            <w:r>
              <w:rPr>
                <w:rFonts w:ascii="Calibri" w:hAnsi="Calibri"/>
              </w:rPr>
              <w:t>Ohio</w:t>
            </w:r>
          </w:p>
        </w:tc>
        <w:tc>
          <w:tcPr>
            <w:tcW w:type="dxa" w:w="2880"/>
          </w:tcPr>
          <w:p>
            <w:r>
              <w:rPr>
                <w:rFonts w:ascii="Calibri" w:hAnsi="Calibri"/>
              </w:rPr>
              <w:t>Louisiana</w:t>
            </w:r>
          </w:p>
        </w:tc>
      </w:tr>
      <w:tr>
        <w:tc>
          <w:tcPr>
            <w:tcW w:type="dxa" w:w="2880"/>
          </w:tcPr>
          <w:p>
            <w:r>
              <w:rPr>
                <w:rFonts w:ascii="Calibri" w:hAnsi="Calibri"/>
              </w:rPr>
              <w:t>Total mass shootings (2025)</w:t>
            </w:r>
          </w:p>
        </w:tc>
        <w:tc>
          <w:tcPr>
            <w:tcW w:type="dxa" w:w="2880"/>
          </w:tcPr>
          <w:p>
            <w:r>
              <w:rPr>
                <w:rFonts w:ascii="Calibri" w:hAnsi="Calibri"/>
              </w:rPr>
              <w:t>2</w:t>
            </w:r>
          </w:p>
        </w:tc>
        <w:tc>
          <w:tcPr>
            <w:tcW w:type="dxa" w:w="2880"/>
          </w:tcPr>
          <w:p>
            <w:r>
              <w:rPr>
                <w:rFonts w:ascii="Calibri" w:hAnsi="Calibri"/>
              </w:rPr>
              <w:t>9</w:t>
            </w:r>
          </w:p>
        </w:tc>
      </w:tr>
      <w:tr>
        <w:tc>
          <w:tcPr>
            <w:tcW w:type="dxa" w:w="2880"/>
          </w:tcPr>
          <w:p>
            <w:r>
              <w:rPr>
                <w:rFonts w:ascii="Calibri" w:hAnsi="Calibri"/>
              </w:rPr>
              <w:t>Events with ≥1 NYT article</w:t>
            </w:r>
          </w:p>
        </w:tc>
        <w:tc>
          <w:tcPr>
            <w:tcW w:type="dxa" w:w="2880"/>
          </w:tcPr>
          <w:p>
            <w:r>
              <w:rPr>
                <w:rFonts w:ascii="Calibri" w:hAnsi="Calibri"/>
              </w:rPr>
              <w:t>1</w:t>
            </w:r>
          </w:p>
        </w:tc>
        <w:tc>
          <w:tcPr>
            <w:tcW w:type="dxa" w:w="2880"/>
          </w:tcPr>
          <w:p>
            <w:r>
              <w:rPr>
                <w:rFonts w:ascii="Calibri" w:hAnsi="Calibri"/>
              </w:rPr>
              <w:t>1</w:t>
            </w:r>
          </w:p>
        </w:tc>
      </w:tr>
      <w:tr>
        <w:tc>
          <w:tcPr>
            <w:tcW w:type="dxa" w:w="2880"/>
          </w:tcPr>
          <w:p>
            <w:r>
              <w:rPr>
                <w:rFonts w:ascii="Calibri" w:hAnsi="Calibri"/>
              </w:rPr>
              <w:t>% reported by NYT</w:t>
            </w:r>
          </w:p>
        </w:tc>
        <w:tc>
          <w:tcPr>
            <w:tcW w:type="dxa" w:w="2880"/>
          </w:tcPr>
          <w:p>
            <w:r>
              <w:rPr>
                <w:rFonts w:ascii="Calibri" w:hAnsi="Calibri"/>
              </w:rPr>
              <w:t>50%</w:t>
            </w:r>
          </w:p>
        </w:tc>
        <w:tc>
          <w:tcPr>
            <w:tcW w:type="dxa" w:w="2880"/>
          </w:tcPr>
          <w:p>
            <w:r>
              <w:rPr>
                <w:rFonts w:ascii="Calibri" w:hAnsi="Calibri"/>
              </w:rPr>
              <w:t>11%</w:t>
            </w:r>
          </w:p>
        </w:tc>
      </w:tr>
      <w:tr>
        <w:tc>
          <w:tcPr>
            <w:tcW w:type="dxa" w:w="2880"/>
          </w:tcPr>
          <w:p>
            <w:r>
              <w:rPr>
                <w:rFonts w:ascii="Calibri" w:hAnsi="Calibri"/>
              </w:rPr>
              <w:t>Coverage duration (days) — min</w:t>
            </w:r>
          </w:p>
        </w:tc>
        <w:tc>
          <w:tcPr>
            <w:tcW w:type="dxa" w:w="2880"/>
          </w:tcPr>
          <w:p>
            <w:r>
              <w:rPr>
                <w:rFonts w:ascii="Calibri" w:hAnsi="Calibri"/>
              </w:rPr>
              <w:t>1</w:t>
            </w:r>
          </w:p>
        </w:tc>
        <w:tc>
          <w:tcPr>
            <w:tcW w:type="dxa" w:w="2880"/>
          </w:tcPr>
          <w:p>
            <w:r>
              <w:rPr>
                <w:rFonts w:ascii="Calibri" w:hAnsi="Calibri"/>
              </w:rPr>
              <w:t>37</w:t>
            </w:r>
          </w:p>
        </w:tc>
      </w:tr>
      <w:tr>
        <w:tc>
          <w:tcPr>
            <w:tcW w:type="dxa" w:w="2880"/>
          </w:tcPr>
          <w:p>
            <w:r>
              <w:rPr>
                <w:rFonts w:ascii="Calibri" w:hAnsi="Calibri"/>
              </w:rPr>
              <w:t>Coverage duration (days) — max</w:t>
            </w:r>
          </w:p>
        </w:tc>
        <w:tc>
          <w:tcPr>
            <w:tcW w:type="dxa" w:w="2880"/>
          </w:tcPr>
          <w:p>
            <w:r>
              <w:rPr>
                <w:rFonts w:ascii="Calibri" w:hAnsi="Calibri"/>
              </w:rPr>
              <w:t>1</w:t>
            </w:r>
          </w:p>
        </w:tc>
        <w:tc>
          <w:tcPr>
            <w:tcW w:type="dxa" w:w="2880"/>
          </w:tcPr>
          <w:p>
            <w:r>
              <w:rPr>
                <w:rFonts w:ascii="Calibri" w:hAnsi="Calibri"/>
              </w:rPr>
              <w:t>37</w:t>
            </w:r>
          </w:p>
        </w:tc>
      </w:tr>
      <w:tr>
        <w:tc>
          <w:tcPr>
            <w:tcW w:type="dxa" w:w="2880"/>
          </w:tcPr>
          <w:p>
            <w:r>
              <w:rPr>
                <w:rFonts w:ascii="Calibri" w:hAnsi="Calibri"/>
              </w:rPr>
              <w:t>Coverage duration (days) — mean</w:t>
            </w:r>
          </w:p>
        </w:tc>
        <w:tc>
          <w:tcPr>
            <w:tcW w:type="dxa" w:w="2880"/>
          </w:tcPr>
          <w:p>
            <w:r>
              <w:rPr>
                <w:rFonts w:ascii="Calibri" w:hAnsi="Calibri"/>
              </w:rPr>
              <w:t>1</w:t>
            </w:r>
          </w:p>
        </w:tc>
        <w:tc>
          <w:tcPr>
            <w:tcW w:type="dxa" w:w="2880"/>
          </w:tcPr>
          <w:p>
            <w:r>
              <w:rPr>
                <w:rFonts w:ascii="Calibri" w:hAnsi="Calibri"/>
              </w:rPr>
              <w:t>37</w:t>
            </w:r>
          </w:p>
        </w:tc>
      </w:tr>
      <w:tr>
        <w:tc>
          <w:tcPr>
            <w:tcW w:type="dxa" w:w="2880"/>
          </w:tcPr>
          <w:p>
            <w:r>
              <w:rPr>
                <w:rFonts w:ascii="Calibri" w:hAnsi="Calibri"/>
              </w:rPr>
              <w:t>Coverage duration (days) — median</w:t>
            </w:r>
          </w:p>
        </w:tc>
        <w:tc>
          <w:tcPr>
            <w:tcW w:type="dxa" w:w="2880"/>
          </w:tcPr>
          <w:p>
            <w:r>
              <w:rPr>
                <w:rFonts w:ascii="Calibri" w:hAnsi="Calibri"/>
              </w:rPr>
              <w:t>1</w:t>
            </w:r>
          </w:p>
        </w:tc>
        <w:tc>
          <w:tcPr>
            <w:tcW w:type="dxa" w:w="2880"/>
          </w:tcPr>
          <w:p>
            <w:r>
              <w:rPr>
                <w:rFonts w:ascii="Calibri" w:hAnsi="Calibri"/>
              </w:rPr>
              <w:t>37</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