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2D charts</w:t>
      </w:r>
      <w:bookmarkEnd w:id="1"/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pStyle w:val="Heading2"/>
      </w:pPr>
      <w:bookmarkStart w:id="2" w:name="_Toc2"/>
      <w:r>
        <w:t>Pie</w:t>
      </w:r>
      <w:bookmarkEnd w:id="2"/>
    </w:p>
    <w:p>
      <w:r>
        <w:drawing>
          <wp:inline>
            <wp:extent cx="2286000" cy="1828800"/>
            <wp:docPr id="7" name="Chart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/>
    <w:p>
      <w:pPr>
        <w:pStyle w:val="Heading2"/>
      </w:pPr>
      <w:bookmarkStart w:id="3" w:name="_Toc3"/>
      <w:r>
        <w:t>Doughnut</w:t>
      </w:r>
      <w:bookmarkEnd w:id="3"/>
    </w:p>
    <w:p>
      <w:r>
        <w:drawing>
          <wp:inline>
            <wp:extent cx="2286000" cy="18288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Bar</w:t>
      </w:r>
      <w:bookmarkEnd w:id="4"/>
    </w:p>
    <w:p>
      <w:r>
        <w:drawing>
          <wp:inline>
            <wp:extent cx="2286000" cy="18288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5" w:name="_Toc5"/>
      <w:r>
        <w:t>Column</w:t>
      </w:r>
      <w:bookmarkEnd w:id="5"/>
    </w:p>
    <w:p>
      <w:r>
        <w:drawing>
          <wp:inline>
            <wp:extent cx="2286000" cy="18288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Line</w:t>
      </w:r>
      <w:bookmarkEnd w:id="6"/>
    </w:p>
    <w:p>
      <w:r>
        <w:drawing>
          <wp:inline>
            <wp:extent cx="2286000" cy="18288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7" w:name="_Toc7"/>
      <w:r>
        <w:t>Area</w:t>
      </w:r>
      <w:bookmarkEnd w:id="7"/>
    </w:p>
    <w:p>
      <w:r>
        <w:drawing>
          <wp:inline>
            <wp:extent cx="2286000" cy="18288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Scatter</w:t>
      </w:r>
      <w:bookmarkEnd w:id="8"/>
    </w:p>
    <w:p>
      <w:r>
        <w:drawing>
          <wp:inline>
            <wp:extent cx="2286000" cy="18288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9" w:name="_Toc9"/>
      <w:r>
        <w:t>Radar</w:t>
      </w:r>
      <w:bookmarkEnd w:id="9"/>
    </w:p>
    <w:p>
      <w:r>
        <w:drawing>
          <wp:inline>
            <wp:extent cx="2286000" cy="18288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sectPr>
          <w:type w:val="continuous"/>
          <w:pgSz w:orient="portrait" w:w="11870" w:h="16787"/>
          <w:pgMar w:top="1440" w:right="1440" w:bottom="1440" w:left="1440" w:header="720" w:footer="720" w:gutter="0"/>
          <w:cols w:num="2" w:space="720"/>
        </w:sectPr>
      </w:pPr>
    </w:p>
    <w:p>
      <w:pPr>
        <w:pStyle w:val="Heading1"/>
      </w:pPr>
      <w:bookmarkStart w:id="10" w:name="_Toc10"/>
      <w:r>
        <w:t>3D charts</w:t>
      </w:r>
      <w:bookmarkEnd w:id="10"/>
    </w:p>
    <w:p>
      <w:pPr>
        <w:sectPr>
          <w:type w:val="continuous"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pStyle w:val="Heading2"/>
      </w:pPr>
      <w:bookmarkStart w:id="11" w:name="_Toc11"/>
      <w:r>
        <w:t>Pie</w:t>
      </w:r>
      <w:bookmarkEnd w:id="11"/>
    </w:p>
    <w:p>
      <w:r>
        <w:drawing>
          <wp:inline>
            <wp:extent cx="1800000" cy="14400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Bar</w:t>
      </w:r>
      <w:bookmarkEnd w:id="12"/>
    </w:p>
    <w:p>
      <w:r>
        <w:drawing>
          <wp:inline>
            <wp:extent cx="1800000" cy="1440000"/>
            <wp:docPr id="16" name="Chart16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/>
    <w:p>
      <w:pPr>
        <w:pStyle w:val="Heading2"/>
      </w:pPr>
      <w:bookmarkStart w:id="13" w:name="_Toc13"/>
      <w:r>
        <w:t>Column</w:t>
      </w:r>
      <w:bookmarkEnd w:id="13"/>
    </w:p>
    <w:p>
      <w:r>
        <w:drawing>
          <wp:inline>
            <wp:extent cx="1800000" cy="1440000"/>
            <wp:docPr id="17" name="Chart1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Line</w:t>
      </w:r>
      <w:bookmarkEnd w:id="14"/>
    </w:p>
    <w:p>
      <w:r>
        <w:drawing>
          <wp:inline>
            <wp:extent cx="1800000" cy="1440000"/>
            <wp:docPr id="18" name="Chart1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/>
    <w:p>
      <w:pPr>
        <w:pStyle w:val="Heading2"/>
      </w:pPr>
      <w:bookmarkStart w:id="15" w:name="_Toc15"/>
      <w:r>
        <w:t>Area</w:t>
      </w:r>
      <w:bookmarkEnd w:id="15"/>
    </w:p>
    <w:p>
      <w:r>
        <w:drawing>
          <wp:inline>
            <wp:extent cx="1800000" cy="1440000"/>
            <wp:docPr id="19" name="Chart1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/>
    <w:sectPr>
      <w:type w:val="continuous"/>
      <w:pgSz w:orient="portrait" w:w="11870" w:h="16787"/>
      <w:pgMar w:top="1440" w:right="1440" w:bottom="1440" w:left="1440" w:header="720" w:footer="720" w:gutter="0"/>
      <w:cols w:num="2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Relationship Id="rId11" Type="http://schemas.openxmlformats.org/officeDocument/2006/relationships/chart" Target="charts/chart5.xml"/><Relationship Id="rId12" Type="http://schemas.openxmlformats.org/officeDocument/2006/relationships/chart" Target="charts/chart6.xml"/><Relationship Id="rId13" Type="http://schemas.openxmlformats.org/officeDocument/2006/relationships/chart" Target="charts/chart7.xml"/><Relationship Id="rId14" Type="http://schemas.openxmlformats.org/officeDocument/2006/relationships/chart" Target="charts/chart8.xml"/><Relationship Id="rId15" Type="http://schemas.openxmlformats.org/officeDocument/2006/relationships/chart" Target="charts/chart9.xml"/><Relationship Id="rId16" Type="http://schemas.openxmlformats.org/officeDocument/2006/relationships/chart" Target="charts/chart10.xml"/><Relationship Id="rId17" Type="http://schemas.openxmlformats.org/officeDocument/2006/relationships/chart" Target="charts/chart11.xml"/><Relationship Id="rId18" Type="http://schemas.openxmlformats.org/officeDocument/2006/relationships/chart" Target="charts/chart12.xml"/><Relationship Id="rId19" Type="http://schemas.openxmlformats.org/officeDocument/2006/relationships/chart" Target="charts/chart1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pieChart>
        <c:varyColors val="1"/>
        <c:ser>
          <c:idx val="0"/>
          <c:order val="0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</c:pieChart>
    </c:plotArea>
  </c:chart>
  <c:spPr>
    <a:ln>
      <a:noFill/>
    </a:ln>
  </c:spPr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3DChart>
        <c:varyColors val="0"/>
        <c:barDir val="bar"/>
        <c:grouping val="clustered"/>
        <c:ser>
          <c:idx val="0"/>
          <c:order val="0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ser>
          <c:idx val="1"/>
          <c:order val="1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val>
        </c:ser>
        <c:ser>
          <c:idx val="2"/>
          <c:order val="2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8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axId val="1"/>
        <c:axId val="2"/>
      </c:bar3D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3DChart>
        <c:varyColors val="0"/>
        <c:barDir val="col"/>
        <c:grouping val="clustered"/>
        <c:ser>
          <c:idx val="0"/>
          <c:order val="0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ser>
          <c:idx val="1"/>
          <c:order val="1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val>
        </c:ser>
        <c:ser>
          <c:idx val="2"/>
          <c:order val="2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8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axId val="1"/>
        <c:axId val="2"/>
      </c:bar3D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ser>
          <c:idx val="1"/>
          <c:order val="1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val>
        </c:ser>
        <c:ser>
          <c:idx val="2"/>
          <c:order val="2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8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area3DChart>
        <c:varyColors val="0"/>
        <c:grouping val="standard"/>
        <c:ser>
          <c:idx val="0"/>
          <c:order val="0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ser>
          <c:idx val="1"/>
          <c:order val="1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val>
        </c:ser>
        <c:ser>
          <c:idx val="2"/>
          <c:order val="2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8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axId val="1"/>
        <c:axId val="2"/>
      </c:area3D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doughnutChart>
        <c:varyColors val="1"/>
        <c:holeSize val="75"/>
        <c:ser>
          <c:idx val="0"/>
          <c:order val="0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</c:doughnutChart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bar"/>
        <c:grouping val="clustered"/>
        <c:ser>
          <c:idx val="0"/>
          <c:order val="0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ser>
          <c:idx val="1"/>
          <c:order val="1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val>
        </c:ser>
        <c:ser>
          <c:idx val="2"/>
          <c:order val="2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8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ser>
          <c:idx val="1"/>
          <c:order val="1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val>
        </c:ser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ser>
          <c:idx val="1"/>
          <c:order val="1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val>
        </c:ser>
        <c:ser>
          <c:idx val="2"/>
          <c:order val="2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8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areaChart>
        <c:varyColors val="0"/>
        <c:grouping val="standard"/>
        <c:ser>
          <c:idx val="0"/>
          <c:order val="0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ser>
          <c:idx val="1"/>
          <c:order val="1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val>
        </c:ser>
        <c:axId val="1"/>
        <c:axId val="2"/>
      </c:area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scatterChart>
        <c:varyColors val="0"/>
        <c:scatterStyle val="marker"/>
        <c:ser>
          <c:idx val="0"/>
          <c:order val="0"/>
          <c:spPr>
            <a:ln>
              <a:noFill/>
            </a:ln>
          </c:spPr>
          <c:xVal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xVal>
          <c:yVal>
            <c:numLit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yVal>
        </c:ser>
        <c:ser>
          <c:idx val="1"/>
          <c:order val="1"/>
          <c:spPr>
            <a:ln>
              <a:noFill/>
            </a:ln>
          </c:spPr>
          <c:xVal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xVal>
          <c:yVal>
            <c:numLit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yVal>
        </c:ser>
        <c:axId val="1"/>
        <c:axId val="2"/>
      </c:scatter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radarChart>
        <c:varyColors val="0"/>
        <c:radarStyle val="standard"/>
        <c:ser>
          <c:idx val="0"/>
          <c:order val="0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ser>
          <c:idx val="1"/>
          <c:order val="1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val>
        </c:ser>
        <c:axId val="1"/>
        <c:axId val="2"/>
      </c:radar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majorGridlines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pie3DChart>
        <c:varyColors val="1"/>
        <c:ser>
          <c:idx val="0"/>
          <c:order val="0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</c:pie3DChart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2016-12-05T13:53:22+07:00</dcterms:created>
  <dcterms:modified xsi:type="dcterms:W3CDTF">2016-12-05T13:53:22+07:00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