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578C14" w14:textId="114EA197" w:rsidR="00854A46" w:rsidRDefault="002B0380">
      <w:pPr>
        <w:keepNext/>
        <w:spacing w:after="20"/>
      </w:pPr>
      <w:r>
        <w:rPr>
          <w:b/>
          <w:sz w:val="28"/>
        </w:rPr>
        <w:t>Decision 4 – Stata vs app: Research Baseline and Research Specification</w:t>
      </w:r>
    </w:p>
    <w:p w14:paraId="18136AA4" w14:textId="77777777" w:rsidR="00854A46" w:rsidRDefault="002B0380">
      <w:pPr>
        <w:keepNext/>
        <w:spacing w:after="20"/>
      </w:pPr>
      <w:r>
        <w:rPr>
          <w:b/>
          <w:sz w:val="21"/>
        </w:rPr>
        <w:t>Research Baseline – Options List Length – Tendency to Plan score</w:t>
      </w:r>
    </w:p>
    <w:p w14:paraId="3BEECC5A" w14:textId="2355BE38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β0 = 0 (Stata: no intercept)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7E91E1CB" w14:textId="77777777">
        <w:trPr>
          <w:cantSplit/>
          <w:jc w:val="center"/>
        </w:trPr>
        <w:tc>
          <w:tcPr>
            <w:tcW w:w="5184" w:type="dxa"/>
          </w:tcPr>
          <w:p w14:paraId="53226A1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weighted_ttp</w:t>
            </w:r>
          </w:p>
        </w:tc>
        <w:tc>
          <w:tcPr>
            <w:tcW w:w="5184" w:type="dxa"/>
          </w:tcPr>
          <w:p w14:paraId="6A4BF20E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4D59F147" w14:textId="77777777">
        <w:trPr>
          <w:cantSplit/>
          <w:jc w:val="center"/>
        </w:trPr>
        <w:tc>
          <w:tcPr>
            <w:tcW w:w="5184" w:type="dxa"/>
          </w:tcPr>
          <w:p w14:paraId="3D90195D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1D82257" wp14:editId="3BAA4338">
                  <wp:extent cx="2765564" cy="2011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64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5C29DEEC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DE17D22" wp14:editId="1E8A4743">
                  <wp:extent cx="2581970" cy="20116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A2011" w14:textId="2B6F38F2" w:rsidR="00854A46" w:rsidRDefault="002B0380">
      <w:pPr>
        <w:spacing w:before="40"/>
      </w:pPr>
      <w:r>
        <w:rPr>
          <w:b/>
          <w:sz w:val="17"/>
        </w:rPr>
        <w:t xml:space="preserve">Match </w:t>
      </w:r>
    </w:p>
    <w:p w14:paraId="63FCD589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Options List Length – number of pre-selected options</w:t>
      </w:r>
    </w:p>
    <w:p w14:paraId="7598CCCC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β0 = 0 (Stata: no intercept)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71518439" w14:textId="77777777">
        <w:trPr>
          <w:cantSplit/>
          <w:jc w:val="center"/>
        </w:trPr>
        <w:tc>
          <w:tcPr>
            <w:tcW w:w="5184" w:type="dxa"/>
          </w:tcPr>
          <w:p w14:paraId="01F59AC2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choice_length_deterministic</w:t>
            </w:r>
          </w:p>
        </w:tc>
        <w:tc>
          <w:tcPr>
            <w:tcW w:w="5184" w:type="dxa"/>
          </w:tcPr>
          <w:p w14:paraId="463EC67D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525FDAEB" w14:textId="77777777">
        <w:trPr>
          <w:cantSplit/>
          <w:jc w:val="center"/>
        </w:trPr>
        <w:tc>
          <w:tcPr>
            <w:tcW w:w="5184" w:type="dxa"/>
          </w:tcPr>
          <w:p w14:paraId="5F4A753E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9DC9AE0" wp14:editId="5F2E4C6E">
                  <wp:extent cx="2754538" cy="20116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538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4680B300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E36F5A0" wp14:editId="6D79B08C">
                  <wp:extent cx="2581970" cy="20116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E53FF" w14:textId="3F74A84F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(7.1 / 32.9 / 33.9 / 20.4 / 5.0 / 0.7 % of agents for 0–5 options). Stata's y-axis is density, the app's is % of agents but the shape is the same.</w:t>
      </w:r>
    </w:p>
    <w:p w14:paraId="37C92352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Loyalty – score</w:t>
      </w:r>
    </w:p>
    <w:p w14:paraId="3A5CD7C8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β1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462A610A" w14:textId="77777777">
        <w:trPr>
          <w:cantSplit/>
          <w:jc w:val="center"/>
        </w:trPr>
        <w:tc>
          <w:tcPr>
            <w:tcW w:w="5184" w:type="dxa"/>
          </w:tcPr>
          <w:p w14:paraId="16CEE914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weighted_loyalty</w:t>
            </w:r>
          </w:p>
        </w:tc>
        <w:tc>
          <w:tcPr>
            <w:tcW w:w="5184" w:type="dxa"/>
          </w:tcPr>
          <w:p w14:paraId="1AD05A7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6D17AC19" w14:textId="77777777">
        <w:trPr>
          <w:cantSplit/>
          <w:jc w:val="center"/>
        </w:trPr>
        <w:tc>
          <w:tcPr>
            <w:tcW w:w="5184" w:type="dxa"/>
          </w:tcPr>
          <w:p w14:paraId="62D99B1E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076D841" wp14:editId="1A5316F3">
                  <wp:extent cx="2757294" cy="20116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294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5120A99C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0A419F6" wp14:editId="32848FE4">
                  <wp:extent cx="2581970" cy="2011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22089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5E16FF5C" w14:textId="77777777" w:rsidR="00854A46" w:rsidRDefault="002B0380">
      <w:pPr>
        <w:keepNext/>
        <w:spacing w:before="160" w:after="20"/>
      </w:pPr>
      <w:r>
        <w:rPr>
          <w:b/>
          <w:sz w:val="21"/>
        </w:rPr>
        <w:lastRenderedPageBreak/>
        <w:t>Research Baseline – Loyalty – options ranking</w:t>
      </w:r>
    </w:p>
    <w:p w14:paraId="334F5339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β1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0D6925FE" w14:textId="77777777">
        <w:trPr>
          <w:cantSplit/>
          <w:jc w:val="center"/>
        </w:trPr>
        <w:tc>
          <w:tcPr>
            <w:tcW w:w="5184" w:type="dxa"/>
          </w:tcPr>
          <w:p w14:paraId="053893A4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weighted_loyalty15</w:t>
            </w:r>
          </w:p>
        </w:tc>
        <w:tc>
          <w:tcPr>
            <w:tcW w:w="5184" w:type="dxa"/>
          </w:tcPr>
          <w:p w14:paraId="6684BD90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297C2F83" w14:textId="77777777">
        <w:trPr>
          <w:cantSplit/>
          <w:jc w:val="center"/>
        </w:trPr>
        <w:tc>
          <w:tcPr>
            <w:tcW w:w="5184" w:type="dxa"/>
          </w:tcPr>
          <w:p w14:paraId="15E32B3C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290E709" wp14:editId="2BFC1502">
                  <wp:extent cx="2757830" cy="20116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3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46FE6BD9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0BEA990" wp14:editId="2D7B9B25">
                  <wp:extent cx="2581970" cy="20116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7799A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(4.3 / 31.1 / 52.9 / 11.1 / 0.7 % of agents). Stata's y-axis is density, the app's is % of agents, and Stata numbers the bars 1–5 where the app names them by option, but the shape is the same.</w:t>
      </w:r>
    </w:p>
    <w:p w14:paraId="1740C797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Willingness-to-Pay – score (continuous income)</w:t>
      </w:r>
    </w:p>
    <w:p w14:paraId="2B3599A3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β2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671AF0D9" w14:textId="77777777">
        <w:trPr>
          <w:cantSplit/>
          <w:jc w:val="center"/>
        </w:trPr>
        <w:tc>
          <w:tcPr>
            <w:tcW w:w="5184" w:type="dxa"/>
          </w:tcPr>
          <w:p w14:paraId="4253DB6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z_WTP_calculated</w:t>
            </w:r>
          </w:p>
        </w:tc>
        <w:tc>
          <w:tcPr>
            <w:tcW w:w="5184" w:type="dxa"/>
          </w:tcPr>
          <w:p w14:paraId="2613F7EC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6E849BCE" w14:textId="77777777">
        <w:trPr>
          <w:cantSplit/>
          <w:jc w:val="center"/>
        </w:trPr>
        <w:tc>
          <w:tcPr>
            <w:tcW w:w="5184" w:type="dxa"/>
          </w:tcPr>
          <w:p w14:paraId="0F96A60D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9FBA182" wp14:editId="456FFBBA">
                  <wp:extent cx="2758358" cy="20116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358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216D05CF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418E004" wp14:editId="7956E44C">
                  <wp:extent cx="2581970" cy="20116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A2438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4D2C783F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Willingness-to-Pay – options ranking (continuous income)</w:t>
      </w:r>
    </w:p>
    <w:p w14:paraId="3E0DE520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β2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666BFFB8" w14:textId="77777777">
        <w:trPr>
          <w:cantSplit/>
          <w:jc w:val="center"/>
        </w:trPr>
        <w:tc>
          <w:tcPr>
            <w:tcW w:w="5184" w:type="dxa"/>
          </w:tcPr>
          <w:p w14:paraId="361BC71B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WTP_calculated15</w:t>
            </w:r>
          </w:p>
        </w:tc>
        <w:tc>
          <w:tcPr>
            <w:tcW w:w="5184" w:type="dxa"/>
          </w:tcPr>
          <w:p w14:paraId="62B21F6A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689F515A" w14:textId="77777777">
        <w:trPr>
          <w:cantSplit/>
          <w:jc w:val="center"/>
        </w:trPr>
        <w:tc>
          <w:tcPr>
            <w:tcW w:w="5184" w:type="dxa"/>
          </w:tcPr>
          <w:p w14:paraId="583E2A5B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5813890" wp14:editId="1963B705">
                  <wp:extent cx="2756500" cy="20116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0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3EBD034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170F1F7" wp14:editId="04FF5E96">
                  <wp:extent cx="2581970" cy="20116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0CA34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(60.0 / 29.3 / 9.3 / 1.1 / 0.4 % of agents). Stata's y-axis is density, the app's is % of agents, and Stata numbers the bars 1–5 where the app names them by option, but the shape is the same.</w:t>
      </w:r>
    </w:p>
    <w:p w14:paraId="105A04EF" w14:textId="77777777" w:rsidR="00854A46" w:rsidRDefault="002B0380">
      <w:pPr>
        <w:keepNext/>
        <w:spacing w:before="160" w:after="20"/>
      </w:pPr>
      <w:r>
        <w:rPr>
          <w:b/>
          <w:sz w:val="21"/>
        </w:rPr>
        <w:lastRenderedPageBreak/>
        <w:t>Research Baseline – Willingness-to-Pay – score (categorical income)</w:t>
      </w:r>
    </w:p>
    <w:p w14:paraId="687C08B5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Categorical only · β2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054D982" w14:textId="77777777">
        <w:trPr>
          <w:cantSplit/>
          <w:jc w:val="center"/>
        </w:trPr>
        <w:tc>
          <w:tcPr>
            <w:tcW w:w="5184" w:type="dxa"/>
          </w:tcPr>
          <w:p w14:paraId="7966F752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z_WTP_categorical</w:t>
            </w:r>
          </w:p>
        </w:tc>
        <w:tc>
          <w:tcPr>
            <w:tcW w:w="5184" w:type="dxa"/>
          </w:tcPr>
          <w:p w14:paraId="7E2AF062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2EB4A37C" w14:textId="77777777">
        <w:trPr>
          <w:cantSplit/>
          <w:jc w:val="center"/>
        </w:trPr>
        <w:tc>
          <w:tcPr>
            <w:tcW w:w="5184" w:type="dxa"/>
          </w:tcPr>
          <w:p w14:paraId="62293E72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3DC4967" wp14:editId="44F8D500">
                  <wp:extent cx="2762152" cy="20116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152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34D7CAB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9104003" wp14:editId="1F7472DB">
                  <wp:extent cx="2581970" cy="20116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at_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08D15" w14:textId="77777777" w:rsidR="00854A46" w:rsidRDefault="002B0380">
      <w:pPr>
        <w:spacing w:before="40"/>
      </w:pPr>
      <w:r>
        <w:rPr>
          <w:b/>
          <w:color w:val="B00020"/>
          <w:sz w:val="17"/>
        </w:rPr>
        <w:t xml:space="preserve">Does not match. </w:t>
      </w:r>
      <w:r>
        <w:rPr>
          <w:color w:val="B00020"/>
          <w:sz w:val="17"/>
        </w:rPr>
        <w:t>In the Stata file, the lowest allowance level (57 participants) used the raw Agreeableness score instead of the standardised one; the other levels and the document use the standardised one, as the app does. Re-running Stata with that fix should make the graphs match.</w:t>
      </w:r>
    </w:p>
    <w:p w14:paraId="416151F2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Risk-Taking – score (continuous income)</w:t>
      </w:r>
    </w:p>
    <w:p w14:paraId="4D91794B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β3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7709BA1F" w14:textId="77777777">
        <w:trPr>
          <w:cantSplit/>
          <w:jc w:val="center"/>
        </w:trPr>
        <w:tc>
          <w:tcPr>
            <w:tcW w:w="5184" w:type="dxa"/>
          </w:tcPr>
          <w:p w14:paraId="60E71DEB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z_RT_calculated_hs</w:t>
            </w:r>
          </w:p>
        </w:tc>
        <w:tc>
          <w:tcPr>
            <w:tcW w:w="5184" w:type="dxa"/>
          </w:tcPr>
          <w:p w14:paraId="1D739AE3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5C28811A" w14:textId="77777777">
        <w:trPr>
          <w:cantSplit/>
          <w:jc w:val="center"/>
        </w:trPr>
        <w:tc>
          <w:tcPr>
            <w:tcW w:w="5184" w:type="dxa"/>
          </w:tcPr>
          <w:p w14:paraId="4B36384A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1670523" wp14:editId="783CF7CA">
                  <wp:extent cx="2758129" cy="20116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129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7A1A407A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5FAE5AF" wp14:editId="154A5A98">
                  <wp:extent cx="2581970" cy="20116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DBB28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7331B8E8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Risk-Taking – options ranking (continuous income)</w:t>
      </w:r>
    </w:p>
    <w:p w14:paraId="558F9224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β3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259357EF" w14:textId="77777777">
        <w:trPr>
          <w:cantSplit/>
          <w:jc w:val="center"/>
        </w:trPr>
        <w:tc>
          <w:tcPr>
            <w:tcW w:w="5184" w:type="dxa"/>
          </w:tcPr>
          <w:p w14:paraId="7FE664A3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RT_calculated15</w:t>
            </w:r>
          </w:p>
        </w:tc>
        <w:tc>
          <w:tcPr>
            <w:tcW w:w="5184" w:type="dxa"/>
          </w:tcPr>
          <w:p w14:paraId="44AFC13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41A0BDF2" w14:textId="77777777">
        <w:trPr>
          <w:cantSplit/>
          <w:jc w:val="center"/>
        </w:trPr>
        <w:tc>
          <w:tcPr>
            <w:tcW w:w="5184" w:type="dxa"/>
          </w:tcPr>
          <w:p w14:paraId="20A12B37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08241E6" wp14:editId="0026F5BE">
                  <wp:extent cx="2758358" cy="20116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358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203AA14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1AE1DB0" wp14:editId="3FB5D476">
                  <wp:extent cx="2581970" cy="201168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3D058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(7.1 / 35.7 / 39.3 / 16.4 / 1.4 % of agents). Stata's y-axis is density, the app's is % of agents, and Stata numbers the bars 1–5 where the app names them by option, but the shape is the same.</w:t>
      </w:r>
    </w:p>
    <w:p w14:paraId="7D7C9B3A" w14:textId="77777777" w:rsidR="00854A46" w:rsidRDefault="002B0380">
      <w:pPr>
        <w:keepNext/>
        <w:spacing w:before="160" w:after="20"/>
      </w:pPr>
      <w:r>
        <w:rPr>
          <w:b/>
          <w:sz w:val="21"/>
        </w:rPr>
        <w:lastRenderedPageBreak/>
        <w:t>Research Baseline – Risk-Taking – score (categorical income)</w:t>
      </w:r>
    </w:p>
    <w:p w14:paraId="305C096A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Categorical only · β3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2A868F99" w14:textId="77777777">
        <w:trPr>
          <w:cantSplit/>
          <w:jc w:val="center"/>
        </w:trPr>
        <w:tc>
          <w:tcPr>
            <w:tcW w:w="5184" w:type="dxa"/>
          </w:tcPr>
          <w:p w14:paraId="55E1FF66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z_RT_categorical</w:t>
            </w:r>
          </w:p>
        </w:tc>
        <w:tc>
          <w:tcPr>
            <w:tcW w:w="5184" w:type="dxa"/>
          </w:tcPr>
          <w:p w14:paraId="5A0FC85D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01AFC4D6" w14:textId="77777777">
        <w:trPr>
          <w:cantSplit/>
          <w:jc w:val="center"/>
        </w:trPr>
        <w:tc>
          <w:tcPr>
            <w:tcW w:w="5184" w:type="dxa"/>
          </w:tcPr>
          <w:p w14:paraId="073FA512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DA48DC1" wp14:editId="6CDF0B9D">
                  <wp:extent cx="2758283" cy="20116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283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2FAC57C4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3CD7275" wp14:editId="3BACC60D">
                  <wp:extent cx="2581970" cy="201168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at_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EF5EC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71CD30B5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Flexibility – score</w:t>
      </w:r>
    </w:p>
    <w:p w14:paraId="67D275A7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β4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7B0E7C36" w14:textId="77777777">
        <w:trPr>
          <w:cantSplit/>
          <w:jc w:val="center"/>
        </w:trPr>
        <w:tc>
          <w:tcPr>
            <w:tcW w:w="5184" w:type="dxa"/>
          </w:tcPr>
          <w:p w14:paraId="0FF88913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z_anchored_flexibility</w:t>
            </w:r>
          </w:p>
        </w:tc>
        <w:tc>
          <w:tcPr>
            <w:tcW w:w="5184" w:type="dxa"/>
          </w:tcPr>
          <w:p w14:paraId="4CAF459D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292FB109" w14:textId="77777777">
        <w:trPr>
          <w:cantSplit/>
          <w:jc w:val="center"/>
        </w:trPr>
        <w:tc>
          <w:tcPr>
            <w:tcW w:w="5184" w:type="dxa"/>
          </w:tcPr>
          <w:p w14:paraId="75C01E32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E36A880" wp14:editId="41EB3727">
                  <wp:extent cx="2756500" cy="20116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0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6536AA9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7AFA85C" wp14:editId="28DABF6B">
                  <wp:extent cx="2581970" cy="201168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75F5E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21025C5D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Baseline – Flexibility – options ranking</w:t>
      </w:r>
    </w:p>
    <w:p w14:paraId="729E0CA3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β4 = 0 · σ: none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3FCC8AF" w14:textId="77777777">
        <w:trPr>
          <w:cantSplit/>
          <w:jc w:val="center"/>
        </w:trPr>
        <w:tc>
          <w:tcPr>
            <w:tcW w:w="5184" w:type="dxa"/>
          </w:tcPr>
          <w:p w14:paraId="3457B38A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Flexibility_combined15</w:t>
            </w:r>
          </w:p>
        </w:tc>
        <w:tc>
          <w:tcPr>
            <w:tcW w:w="5184" w:type="dxa"/>
          </w:tcPr>
          <w:p w14:paraId="238F8562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Baseline</w:t>
            </w:r>
          </w:p>
        </w:tc>
      </w:tr>
      <w:tr w:rsidR="00854A46" w14:paraId="4E4287C0" w14:textId="77777777">
        <w:trPr>
          <w:cantSplit/>
          <w:jc w:val="center"/>
        </w:trPr>
        <w:tc>
          <w:tcPr>
            <w:tcW w:w="5184" w:type="dxa"/>
          </w:tcPr>
          <w:p w14:paraId="23ABB160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AEE3839" wp14:editId="4FEFC011">
                  <wp:extent cx="2752630" cy="20116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63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0CC07483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BA83274" wp14:editId="3EA463A8">
                  <wp:extent cx="2581970" cy="201168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EB97F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(6.1 / 30.4 / 48.9 / 13.2 / 1.4 % of agents). Stata's y-axis is density, the app's is % of agents, and Stata numbers the bars 1–5 where the app names them by option, but the shape is the same.</w:t>
      </w:r>
    </w:p>
    <w:p w14:paraId="71FF3ACA" w14:textId="77777777" w:rsidR="00854A46" w:rsidRDefault="002B0380">
      <w:r>
        <w:br w:type="page"/>
      </w:r>
    </w:p>
    <w:p w14:paraId="677F48AC" w14:textId="77777777" w:rsidR="00854A46" w:rsidRDefault="002B0380">
      <w:pPr>
        <w:keepNext/>
        <w:spacing w:after="20"/>
      </w:pPr>
      <w:r>
        <w:rPr>
          <w:b/>
          <w:sz w:val="21"/>
        </w:rPr>
        <w:lastRenderedPageBreak/>
        <w:t>Research Specification – Options List Length – Tendency to Plan score</w:t>
      </w:r>
    </w:p>
    <w:p w14:paraId="1913E0E7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β0 = 0 (Stata: no intercept)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0240BFBC" w14:textId="77777777">
        <w:trPr>
          <w:cantSplit/>
          <w:jc w:val="center"/>
        </w:trPr>
        <w:tc>
          <w:tcPr>
            <w:tcW w:w="5184" w:type="dxa"/>
          </w:tcPr>
          <w:p w14:paraId="2AA7BF68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weighted_ttp</w:t>
            </w:r>
          </w:p>
        </w:tc>
        <w:tc>
          <w:tcPr>
            <w:tcW w:w="5184" w:type="dxa"/>
          </w:tcPr>
          <w:p w14:paraId="0066C92F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1D61AF35" w14:textId="77777777">
        <w:trPr>
          <w:cantSplit/>
          <w:jc w:val="center"/>
        </w:trPr>
        <w:tc>
          <w:tcPr>
            <w:tcW w:w="5184" w:type="dxa"/>
          </w:tcPr>
          <w:p w14:paraId="0908307F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39003DD" wp14:editId="06F11B57">
                  <wp:extent cx="2765564" cy="20116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64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1A392589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AB29B37" wp14:editId="60F9792D">
                  <wp:extent cx="2581970" cy="201168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B4973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458DA405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Options List Length – number of pre-selected options</w:t>
      </w:r>
    </w:p>
    <w:p w14:paraId="65DA30E0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β0 = 0 (Stata: no intercept)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664D899" w14:textId="77777777">
        <w:trPr>
          <w:cantSplit/>
          <w:jc w:val="center"/>
        </w:trPr>
        <w:tc>
          <w:tcPr>
            <w:tcW w:w="5184" w:type="dxa"/>
          </w:tcPr>
          <w:p w14:paraId="7E91F223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choice_length_deterministic</w:t>
            </w:r>
          </w:p>
        </w:tc>
        <w:tc>
          <w:tcPr>
            <w:tcW w:w="5184" w:type="dxa"/>
          </w:tcPr>
          <w:p w14:paraId="40033714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27FE445F" w14:textId="77777777">
        <w:trPr>
          <w:cantSplit/>
          <w:jc w:val="center"/>
        </w:trPr>
        <w:tc>
          <w:tcPr>
            <w:tcW w:w="5184" w:type="dxa"/>
          </w:tcPr>
          <w:p w14:paraId="75D659B8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DAA9846" wp14:editId="74A0A8F7">
                  <wp:extent cx="2754538" cy="20116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538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3B3CD683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27F0F61" wp14:editId="6F7DDB9F">
                  <wp:extent cx="2581970" cy="20116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1AFC0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(7.1 / 32.9 / 33.9 / 20.4 / 5.0 / 0.7 % of agents for 0–5 options). Stata's y-axis is density, the app's is % of agents but the shape is the same.</w:t>
      </w:r>
    </w:p>
    <w:p w14:paraId="50103E47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Loyalty – score</w:t>
      </w:r>
    </w:p>
    <w:p w14:paraId="1A32085B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β1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24B9A8A" w14:textId="77777777">
        <w:trPr>
          <w:cantSplit/>
          <w:jc w:val="center"/>
        </w:trPr>
        <w:tc>
          <w:tcPr>
            <w:tcW w:w="5184" w:type="dxa"/>
          </w:tcPr>
          <w:p w14:paraId="0C77476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weighted_loyalty</w:t>
            </w:r>
          </w:p>
        </w:tc>
        <w:tc>
          <w:tcPr>
            <w:tcW w:w="5184" w:type="dxa"/>
          </w:tcPr>
          <w:p w14:paraId="56FA102E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22EE4CCC" w14:textId="77777777">
        <w:trPr>
          <w:cantSplit/>
          <w:jc w:val="center"/>
        </w:trPr>
        <w:tc>
          <w:tcPr>
            <w:tcW w:w="5184" w:type="dxa"/>
          </w:tcPr>
          <w:p w14:paraId="39747434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A5F455E" wp14:editId="43F5027C">
                  <wp:extent cx="2757294" cy="20116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294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439AC116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96D38FF" wp14:editId="5E306255">
                  <wp:extent cx="2581970" cy="20116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505DA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7ABE4A91" w14:textId="77777777" w:rsidR="00854A46" w:rsidRDefault="002B0380">
      <w:pPr>
        <w:keepNext/>
        <w:spacing w:before="160" w:after="20"/>
      </w:pPr>
      <w:r>
        <w:rPr>
          <w:b/>
          <w:sz w:val="21"/>
        </w:rPr>
        <w:lastRenderedPageBreak/>
        <w:t>Research Specification – Loyalty – options ranking</w:t>
      </w:r>
    </w:p>
    <w:p w14:paraId="713F9CBA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β1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001EBD5B" w14:textId="77777777">
        <w:trPr>
          <w:cantSplit/>
          <w:jc w:val="center"/>
        </w:trPr>
        <w:tc>
          <w:tcPr>
            <w:tcW w:w="5184" w:type="dxa"/>
          </w:tcPr>
          <w:p w14:paraId="306C75BF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weighted_loyalty15</w:t>
            </w:r>
          </w:p>
        </w:tc>
        <w:tc>
          <w:tcPr>
            <w:tcW w:w="5184" w:type="dxa"/>
          </w:tcPr>
          <w:p w14:paraId="4BEDE2B3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1042D293" w14:textId="77777777">
        <w:trPr>
          <w:cantSplit/>
          <w:jc w:val="center"/>
        </w:trPr>
        <w:tc>
          <w:tcPr>
            <w:tcW w:w="5184" w:type="dxa"/>
          </w:tcPr>
          <w:p w14:paraId="3652F4BF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1392C9A" wp14:editId="0970BBA2">
                  <wp:extent cx="2757830" cy="20116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3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27840F11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4DAE55B" wp14:editId="1C9DBF8C">
                  <wp:extent cx="2581970" cy="201168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50B3F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(4.3 / 31.1 / 52.9 / 11.1 / 0.7 % of agents). Stata's y-axis is density, the app's is % of agents, and Stata numbers the bars 1–5 where the app names them by option, but the shape is the same.</w:t>
      </w:r>
    </w:p>
    <w:p w14:paraId="66DD526A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Willingness-to-Pay – score (continuous income)</w:t>
      </w:r>
    </w:p>
    <w:p w14:paraId="53AFA750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β2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2C153C8F" w14:textId="77777777">
        <w:trPr>
          <w:cantSplit/>
          <w:jc w:val="center"/>
        </w:trPr>
        <w:tc>
          <w:tcPr>
            <w:tcW w:w="5184" w:type="dxa"/>
          </w:tcPr>
          <w:p w14:paraId="14B29D1A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z_WTP_calculated</w:t>
            </w:r>
          </w:p>
        </w:tc>
        <w:tc>
          <w:tcPr>
            <w:tcW w:w="5184" w:type="dxa"/>
          </w:tcPr>
          <w:p w14:paraId="2341BDA6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3906BAE6" w14:textId="77777777">
        <w:trPr>
          <w:cantSplit/>
          <w:jc w:val="center"/>
        </w:trPr>
        <w:tc>
          <w:tcPr>
            <w:tcW w:w="5184" w:type="dxa"/>
          </w:tcPr>
          <w:p w14:paraId="45C0F6B7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ACA13CE" wp14:editId="6566BDA5">
                  <wp:extent cx="2758358" cy="20116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358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16C5B03C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1864DDE" wp14:editId="0865F8D8">
                  <wp:extent cx="2581970" cy="201168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CDFDF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04655172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Willingness-to-Pay – options ranking (continuous income)</w:t>
      </w:r>
    </w:p>
    <w:p w14:paraId="3DF23750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β2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1F985CE8" w14:textId="77777777">
        <w:trPr>
          <w:cantSplit/>
          <w:jc w:val="center"/>
        </w:trPr>
        <w:tc>
          <w:tcPr>
            <w:tcW w:w="5184" w:type="dxa"/>
          </w:tcPr>
          <w:p w14:paraId="1040DB0C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WTP_calculated15</w:t>
            </w:r>
          </w:p>
        </w:tc>
        <w:tc>
          <w:tcPr>
            <w:tcW w:w="5184" w:type="dxa"/>
          </w:tcPr>
          <w:p w14:paraId="23200CD0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5641CE72" w14:textId="77777777">
        <w:trPr>
          <w:cantSplit/>
          <w:jc w:val="center"/>
        </w:trPr>
        <w:tc>
          <w:tcPr>
            <w:tcW w:w="5184" w:type="dxa"/>
          </w:tcPr>
          <w:p w14:paraId="333105DA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B083CFA" wp14:editId="161819BD">
                  <wp:extent cx="2756500" cy="20116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0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7ABA404D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A0361C" wp14:editId="5E48B0D4">
                  <wp:extent cx="2581970" cy="201168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9CAA6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(60.0 / 29.3 / 9.3 / 1.1 / 0.4 % of agents). Stata's y-axis is density, the app's is % of agents, and Stata numbers the bars 1–5 where the app names them by option, but the shape is the same.</w:t>
      </w:r>
    </w:p>
    <w:p w14:paraId="680016F9" w14:textId="77777777" w:rsidR="00854A46" w:rsidRDefault="002B0380">
      <w:pPr>
        <w:keepNext/>
        <w:spacing w:before="160" w:after="20"/>
      </w:pPr>
      <w:r>
        <w:rPr>
          <w:b/>
          <w:sz w:val="21"/>
        </w:rPr>
        <w:lastRenderedPageBreak/>
        <w:t>Research Specification – Willingness-to-Pay – score (categorical income)</w:t>
      </w:r>
    </w:p>
    <w:p w14:paraId="667E3209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Categorical only · β2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9841F71" w14:textId="77777777">
        <w:trPr>
          <w:cantSplit/>
          <w:jc w:val="center"/>
        </w:trPr>
        <w:tc>
          <w:tcPr>
            <w:tcW w:w="5184" w:type="dxa"/>
          </w:tcPr>
          <w:p w14:paraId="12526C79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z_WTP_categorical</w:t>
            </w:r>
          </w:p>
        </w:tc>
        <w:tc>
          <w:tcPr>
            <w:tcW w:w="5184" w:type="dxa"/>
          </w:tcPr>
          <w:p w14:paraId="7F181254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2EE84BC0" w14:textId="77777777">
        <w:trPr>
          <w:cantSplit/>
          <w:jc w:val="center"/>
        </w:trPr>
        <w:tc>
          <w:tcPr>
            <w:tcW w:w="5184" w:type="dxa"/>
          </w:tcPr>
          <w:p w14:paraId="3CB726B7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5B49AFF" wp14:editId="1CAAE448">
                  <wp:extent cx="2762152" cy="20116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152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59550D33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304681C" wp14:editId="3B1ADEBA">
                  <wp:extent cx="2581970" cy="201168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at_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EBFA5" w14:textId="77777777" w:rsidR="00854A46" w:rsidRDefault="002B0380">
      <w:pPr>
        <w:spacing w:before="40"/>
      </w:pPr>
      <w:r>
        <w:rPr>
          <w:b/>
          <w:color w:val="B00020"/>
          <w:sz w:val="17"/>
        </w:rPr>
        <w:t xml:space="preserve">Does not match. </w:t>
      </w:r>
      <w:r>
        <w:rPr>
          <w:color w:val="B00020"/>
          <w:sz w:val="17"/>
        </w:rPr>
        <w:t>In the Stata file, the lowest allowance level (57 participants) used the raw Agreeableness score instead of the standardised one; the other levels and the document use the standardised one, as the app does. Re-running Stata with that fix should make the graphs match.</w:t>
      </w:r>
    </w:p>
    <w:p w14:paraId="6AFAEDF0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Risk-Taking – score (continuous income)</w:t>
      </w:r>
    </w:p>
    <w:p w14:paraId="3786F797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β3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F5EFA70" w14:textId="77777777">
        <w:trPr>
          <w:cantSplit/>
          <w:jc w:val="center"/>
        </w:trPr>
        <w:tc>
          <w:tcPr>
            <w:tcW w:w="5184" w:type="dxa"/>
          </w:tcPr>
          <w:p w14:paraId="4FD528CE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z_RT_calculated_hs</w:t>
            </w:r>
          </w:p>
        </w:tc>
        <w:tc>
          <w:tcPr>
            <w:tcW w:w="5184" w:type="dxa"/>
          </w:tcPr>
          <w:p w14:paraId="3F8B5595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65746EE2" w14:textId="77777777">
        <w:trPr>
          <w:cantSplit/>
          <w:jc w:val="center"/>
        </w:trPr>
        <w:tc>
          <w:tcPr>
            <w:tcW w:w="5184" w:type="dxa"/>
          </w:tcPr>
          <w:p w14:paraId="59BA7533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0DF5645" wp14:editId="62FD6098">
                  <wp:extent cx="2758129" cy="201168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129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12F0F8D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6F84A8" wp14:editId="2A40E7EA">
                  <wp:extent cx="2581970" cy="20116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ECC10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1E77543C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Risk-Taking – options ranking (continuous income)</w:t>
      </w:r>
    </w:p>
    <w:p w14:paraId="62E75424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Continuous only · β3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65D30981" w14:textId="77777777">
        <w:trPr>
          <w:cantSplit/>
          <w:jc w:val="center"/>
        </w:trPr>
        <w:tc>
          <w:tcPr>
            <w:tcW w:w="5184" w:type="dxa"/>
          </w:tcPr>
          <w:p w14:paraId="5F93DAD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RT_calculated15</w:t>
            </w:r>
          </w:p>
        </w:tc>
        <w:tc>
          <w:tcPr>
            <w:tcW w:w="5184" w:type="dxa"/>
          </w:tcPr>
          <w:p w14:paraId="463E79CA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3A735BB8" w14:textId="77777777">
        <w:trPr>
          <w:cantSplit/>
          <w:jc w:val="center"/>
        </w:trPr>
        <w:tc>
          <w:tcPr>
            <w:tcW w:w="5184" w:type="dxa"/>
          </w:tcPr>
          <w:p w14:paraId="6C2092DF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70DCF68" wp14:editId="07DA82A1">
                  <wp:extent cx="2758358" cy="201168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358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38AF5C44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4D216A7" wp14:editId="6ABBFF66">
                  <wp:extent cx="2581970" cy="201168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27277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(7.1 / 35.7 / 39.3 / 16.4 / 1.4 % of agents). Stata's y-axis is density, the app's is % of agents, and Stata numbers the bars 1–5 where the app names them by option, but the shape is the same.</w:t>
      </w:r>
    </w:p>
    <w:p w14:paraId="6B3E2A27" w14:textId="77777777" w:rsidR="00854A46" w:rsidRDefault="002B0380">
      <w:pPr>
        <w:keepNext/>
        <w:spacing w:before="160" w:after="20"/>
      </w:pPr>
      <w:r>
        <w:rPr>
          <w:b/>
          <w:sz w:val="21"/>
        </w:rPr>
        <w:lastRenderedPageBreak/>
        <w:t>Research Specification – Risk-Taking – score (categorical income)</w:t>
      </w:r>
    </w:p>
    <w:p w14:paraId="4AE3FBCD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Categorical only · β3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5E2F8E9E" w14:textId="77777777">
        <w:trPr>
          <w:cantSplit/>
          <w:jc w:val="center"/>
        </w:trPr>
        <w:tc>
          <w:tcPr>
            <w:tcW w:w="5184" w:type="dxa"/>
          </w:tcPr>
          <w:p w14:paraId="273FB506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z_RT_categorical</w:t>
            </w:r>
          </w:p>
        </w:tc>
        <w:tc>
          <w:tcPr>
            <w:tcW w:w="5184" w:type="dxa"/>
          </w:tcPr>
          <w:p w14:paraId="521080F1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5835CF69" w14:textId="77777777">
        <w:trPr>
          <w:cantSplit/>
          <w:jc w:val="center"/>
        </w:trPr>
        <w:tc>
          <w:tcPr>
            <w:tcW w:w="5184" w:type="dxa"/>
          </w:tcPr>
          <w:p w14:paraId="617F20E8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941DA20" wp14:editId="7E59D0F1">
                  <wp:extent cx="2758283" cy="20116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283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651E587E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6B1AD27" wp14:editId="794C97E4">
                  <wp:extent cx="2581970" cy="201168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at_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2CFBB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20C7F195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Flexibility – score</w:t>
      </w:r>
    </w:p>
    <w:p w14:paraId="318BA0E5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β4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36A49BE2" w14:textId="77777777">
        <w:trPr>
          <w:cantSplit/>
          <w:jc w:val="center"/>
        </w:trPr>
        <w:tc>
          <w:tcPr>
            <w:tcW w:w="5184" w:type="dxa"/>
          </w:tcPr>
          <w:p w14:paraId="54A83AC5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z_anchored_flexibility</w:t>
            </w:r>
          </w:p>
        </w:tc>
        <w:tc>
          <w:tcPr>
            <w:tcW w:w="5184" w:type="dxa"/>
          </w:tcPr>
          <w:p w14:paraId="54E37FA4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7D0494B6" w14:textId="77777777">
        <w:trPr>
          <w:cantSplit/>
          <w:jc w:val="center"/>
        </w:trPr>
        <w:tc>
          <w:tcPr>
            <w:tcW w:w="5184" w:type="dxa"/>
          </w:tcPr>
          <w:p w14:paraId="63FCF6C1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A6C0728" wp14:editId="6D5B50A3">
                  <wp:extent cx="2756500" cy="201168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0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7A933927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3316583" wp14:editId="79104CCB">
                  <wp:extent cx="2581970" cy="201168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9FA96" w14:textId="77777777" w:rsidR="00854A46" w:rsidRDefault="002B0380">
      <w:pPr>
        <w:spacing w:before="40"/>
      </w:pPr>
      <w:r>
        <w:rPr>
          <w:b/>
          <w:sz w:val="17"/>
        </w:rPr>
        <w:t>Match</w:t>
      </w:r>
    </w:p>
    <w:p w14:paraId="669F18B1" w14:textId="77777777" w:rsidR="00854A46" w:rsidRDefault="002B0380">
      <w:pPr>
        <w:keepNext/>
        <w:spacing w:before="160" w:after="20"/>
      </w:pPr>
      <w:r>
        <w:rPr>
          <w:b/>
          <w:sz w:val="21"/>
        </w:rPr>
        <w:t>Research Specification – Flexibility – options ranking</w:t>
      </w:r>
    </w:p>
    <w:p w14:paraId="00833418" w14:textId="77777777" w:rsidR="00854A46" w:rsidRDefault="002B0380">
      <w:pPr>
        <w:keepNext/>
        <w:spacing w:after="60"/>
      </w:pPr>
      <w:r>
        <w:rPr>
          <w:color w:val="333333"/>
          <w:sz w:val="16"/>
        </w:rPr>
        <w:t>Agents 280 · Income: not used · β4 = 0 · σ: none (turned off in the app)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54A46" w14:paraId="2775BB67" w14:textId="77777777">
        <w:trPr>
          <w:cantSplit/>
          <w:jc w:val="center"/>
        </w:trPr>
        <w:tc>
          <w:tcPr>
            <w:tcW w:w="5184" w:type="dxa"/>
          </w:tcPr>
          <w:p w14:paraId="44721E83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Stata: histogram Flexibility_combined15</w:t>
            </w:r>
          </w:p>
        </w:tc>
        <w:tc>
          <w:tcPr>
            <w:tcW w:w="5184" w:type="dxa"/>
          </w:tcPr>
          <w:p w14:paraId="69095E5B" w14:textId="77777777" w:rsidR="00854A46" w:rsidRDefault="002B0380">
            <w:pPr>
              <w:keepNext/>
              <w:jc w:val="center"/>
            </w:pPr>
            <w:r>
              <w:rPr>
                <w:color w:val="666666"/>
                <w:sz w:val="16"/>
              </w:rPr>
              <w:t>App: Research Specification</w:t>
            </w:r>
          </w:p>
        </w:tc>
      </w:tr>
      <w:tr w:rsidR="00854A46" w14:paraId="44C98C66" w14:textId="77777777">
        <w:trPr>
          <w:cantSplit/>
          <w:jc w:val="center"/>
        </w:trPr>
        <w:tc>
          <w:tcPr>
            <w:tcW w:w="5184" w:type="dxa"/>
          </w:tcPr>
          <w:p w14:paraId="6AA318EF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15F11C5" wp14:editId="37395602">
                  <wp:extent cx="2752630" cy="201168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63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14:paraId="0E0083B6" w14:textId="77777777" w:rsidR="00854A46" w:rsidRDefault="002B038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A56159" wp14:editId="3C945160">
                  <wp:extent cx="2581970" cy="201168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cont_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BF023" w14:textId="77777777" w:rsidR="00854A46" w:rsidRDefault="002B0380">
      <w:pPr>
        <w:spacing w:before="40"/>
      </w:pPr>
      <w:r>
        <w:rPr>
          <w:b/>
          <w:sz w:val="17"/>
        </w:rPr>
        <w:t xml:space="preserve">Match </w:t>
      </w:r>
      <w:r>
        <w:rPr>
          <w:sz w:val="17"/>
        </w:rPr>
        <w:t>(6.1 / 30.4 / 48.9 / 13.2 / 1.4 % of agents). Stata's y-axis is density, the app's is % of agents, and Stata numbers the bars 1–5 where the app names them by option, but the shape is the same.</w:t>
      </w:r>
    </w:p>
    <w:sectPr w:rsidR="00854A46" w:rsidSect="00034616">
      <w:pgSz w:w="11909" w:h="16834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995752">
    <w:abstractNumId w:val="8"/>
  </w:num>
  <w:num w:numId="2" w16cid:durableId="284388884">
    <w:abstractNumId w:val="6"/>
  </w:num>
  <w:num w:numId="3" w16cid:durableId="1869877717">
    <w:abstractNumId w:val="5"/>
  </w:num>
  <w:num w:numId="4" w16cid:durableId="1720278322">
    <w:abstractNumId w:val="4"/>
  </w:num>
  <w:num w:numId="5" w16cid:durableId="1009336318">
    <w:abstractNumId w:val="7"/>
  </w:num>
  <w:num w:numId="6" w16cid:durableId="1112556594">
    <w:abstractNumId w:val="3"/>
  </w:num>
  <w:num w:numId="7" w16cid:durableId="1383093720">
    <w:abstractNumId w:val="2"/>
  </w:num>
  <w:num w:numId="8" w16cid:durableId="222444971">
    <w:abstractNumId w:val="1"/>
  </w:num>
  <w:num w:numId="9" w16cid:durableId="4652426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71D"/>
    <w:rsid w:val="0015074B"/>
    <w:rsid w:val="0029639D"/>
    <w:rsid w:val="002B0380"/>
    <w:rsid w:val="00326F90"/>
    <w:rsid w:val="003E738F"/>
    <w:rsid w:val="00854A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156222"/>
  <w14:defaultImageDpi w14:val="300"/>
  <w15:docId w15:val="{CA40D078-7F7F-6849-A433-FD99F828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emf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2070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Sueda Gul</cp:lastModifiedBy>
  <cp:revision>2</cp:revision>
  <dcterms:created xsi:type="dcterms:W3CDTF">2013-12-23T23:15:00Z</dcterms:created>
  <dcterms:modified xsi:type="dcterms:W3CDTF">2026-10-07T10:33:00Z</dcterms:modified>
  <cp:category/>
</cp:coreProperties>
</file>