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 w:before="0"/>
      </w:pPr>
      <w:r>
        <w:rPr>
          <w:b/>
          <w:sz w:val="28"/>
        </w:rPr>
        <w:t>Decision 4 – Stata vs app: Research Baseline and Research Specification, 280 agents</w:t>
      </w:r>
    </w:p>
    <w:p>
      <w:pPr>
        <w:keepNext w:val="0"/>
        <w:spacing w:after="120" w:before="0"/>
      </w:pPr>
      <w:r>
        <w:rPr>
          <w:b w:val="0"/>
          <w:color w:val="666666"/>
          <w:sz w:val="16"/>
        </w:rPr>
        <w:t>Stata: Stata_File_Decision4_050926.dta and the figures in "Decision 4 - Rejected Transaction Defaults 040926-2". App: branch migration, commit d489143, browser screenshots, 7 Oct 2026.</w:t>
      </w:r>
    </w:p>
    <w:p>
      <w:pPr>
        <w:keepNext/>
        <w:spacing w:after="20" w:before="0"/>
      </w:pPr>
      <w:r>
        <w:rPr>
          <w:b/>
          <w:sz w:val="21"/>
        </w:rPr>
        <w:t>Research Baseline – Options List Length – Tendency to Plan score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β0 = 0 (Stata: no intercept); −0.0152556564·zE + 0.0177638642·zA + 0.01959·zN + 0.00901465·zC + 0.0297·education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weighted_ttp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65564" cy="20116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564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Baseline – Options List Length – number of pre-selected options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β0 = 0 (Stata: no intercept); −0.0152556564·zE + 0.0177638642·zA + 0.01959·zN + 0.00901465·zC + 0.0297·education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choice_length_deterministic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4538" cy="20116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538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6 bars with the same heights (7.1 / 32.9 / 33.9 / 20.4 / 5.0 / 0.7 % of agents for 0–5 options). Stata's y-axis is density, the app's is % of agents; the shape is the same.</w:t>
      </w:r>
    </w:p>
    <w:p>
      <w:pPr>
        <w:keepNext/>
        <w:spacing w:after="20" w:before="160"/>
      </w:pPr>
      <w:r>
        <w:rPr>
          <w:b/>
          <w:sz w:val="21"/>
        </w:rPr>
        <w:t>Research Baseline – Loyalty – score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β1 = 0 (Stata beta1 = 0); −0.009828468·zE + 0.01096706·zO + 0.0123046·zA, then standardised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weighted_loyalty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7294" cy="20116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294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Baseline – Loyalty – options ranking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β1 = 0 (Stata beta1 = 0); −0.009828468·zE + 0.01096706·zO + 0.0123046·zA, then standardised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weighted_loyalty15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7830" cy="20116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83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5 bars in the same order and heights (4.3 / 31.1 / 52.9 / 11.1 / 0.7 %). Stata numbers the segments 1–5; the app names each segment by its first option (Option 2, 5, 4, 1, 3). Stata's y-axis is density, the app's is % of agents.</w:t>
      </w:r>
    </w:p>
    <w:p>
      <w:pPr>
        <w:keepNext/>
        <w:spacing w:after="20" w:before="160"/>
      </w:pPr>
      <w:r>
        <w:rPr>
          <w:b/>
          <w:sz w:val="21"/>
        </w:rPr>
        <w:t>Research Baseline – Willingness-to-Pay – score (continuous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Continuous only · β2 = 0 (Stata beta2 = 0); 0.078863062·zE − 0.012326128·zA + 0.698·z income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z_WTP_calculated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8358" cy="20116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358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Baseline – Willingness-to-Pay – options ranking (continuous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Continuous only · β2 = 0 (Stata beta2 = 0); 0.078863062·zE − 0.012326128·zA + 0.698·z income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WTP_calculated15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6500" cy="20116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0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5 bars in the same order and heights (60.0 / 29.3 / 9.3 / 1.1 / 0.4 %). Stata numbers the segments 1–5; the app names each segment by its first option (Option 5, 4, 1, 2, 3). Stata's y-axis is density, the app's is % of agents.</w:t>
      </w:r>
    </w:p>
    <w:p>
      <w:pPr>
        <w:keepNext/>
        <w:spacing w:after="20" w:before="160"/>
      </w:pPr>
      <w:r>
        <w:rPr>
          <w:b/>
          <w:sz w:val="21"/>
        </w:rPr>
        <w:t>Research Baseline – Willingness-to-Pay – score (categorical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Categorical only · β2 = 0 (Stata beta2 = 0); allowance levels −0.691843 (base), +0.2671588, +0.5057716, +0.9411747, +1.822471; 0.078863062·zE − 0.012326128·zA (same as the Stata code in the document)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z_WTP_categorical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62152" cy="201168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152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at_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color w:val="B00020"/>
          <w:sz w:val="17"/>
        </w:rPr>
        <w:t xml:space="preserve">Does not match – </w:t>
      </w:r>
      <w:r>
        <w:rPr>
          <w:b w:val="0"/>
          <w:color w:val="B00020"/>
          <w:sz w:val="17"/>
        </w:rPr>
        <w:t>the Stata file's stored z_WTP_categorical was made with an older formula for the lowest allowance level (57 participants); the app uses the formula printed in the Decision 4 document and matches that formula bar by bar (max bar difference here 25% of the tallest bar).</w:t>
      </w:r>
    </w:p>
    <w:p>
      <w:pPr>
        <w:keepNext/>
        <w:spacing w:after="20" w:before="160"/>
      </w:pPr>
      <w:r>
        <w:rPr>
          <w:b/>
          <w:sz w:val="21"/>
        </w:rPr>
        <w:t>Research Baseline – Risk-Taking – score (continuous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Continuous only · β3 = 0 (Stata beta3 = 0); 0.025942386297·zE + 0.023699214948·zO − 0.038734315188·zA − 0.037739440732·zC − 0.025388697852·zN + 0.006874197106·z income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z_RT_calculated_hs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8129" cy="20116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129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Baseline – Risk-Taking – options ranking (continuous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Continuous only · β3 = 0 (Stata beta3 = 0); 0.025942386297·zE + 0.023699214948·zO − 0.038734315188·zA − 0.037739440732·zC − 0.025388697852·zN + 0.006874197106·z income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RT_calculated15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8358" cy="201168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358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5 bars in the same order and heights (7.1 / 35.7 / 39.3 / 16.4 / 1.4 %). Stata numbers the segments 1–5; the app names each segment by its first option (Option 5, 3, 1, 2, 4). Stata's y-axis is density, the app's is % of agents.</w:t>
      </w:r>
    </w:p>
    <w:p>
      <w:pPr>
        <w:keepNext/>
        <w:spacing w:after="20" w:before="160"/>
      </w:pPr>
      <w:r>
        <w:rPr>
          <w:b/>
          <w:sz w:val="21"/>
        </w:rPr>
        <w:t>Research Baseline – Risk-Taking – score (categorical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Categorical only · β3 = 0 (Stata beta3 = 0); allowance levels −0.0068307 (base), +0.0026128, +0.0050555, +0.0092738, +0.0179812; personality coefficients as in the continuous model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z_RT_categorical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8283" cy="20116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283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at_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Baseline – Flexibility – score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β4 = 0 (Stata beta4 = 0); 0.0206·zE + 0.0294118·zO − 0.04921357·zN + 0.04339814·zA + 0.04811179·zC, anchored 0.25·z stdactions + 0.75·score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z_anchored_flexibility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6500" cy="201168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0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Baseline – Flexibility – options ranking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β4 = 0 (Stata beta4 = 0); 0.0206·zE + 0.0294118·zO − 0.04921357·zN + 0.04339814·zA + 0.04811179·zC, anchored 0.25·z stdactions + 0.75·score (same as Stata) · σ: none in Stata; Research Baseline never adds 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Flexibility_combined15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Baseline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2630" cy="20116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63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5 bars in the same order and heights (6.1 / 30.4 / 48.9 / 13.2 / 1.4 %). Stata numbers the segments 1–5; the app names each segment by its first option (Option 5, 1, 3, 4, 2). Stata's y-axis is density, the app's is % of agents.</w:t>
      </w:r>
    </w:p>
    <w:p>
      <w:r>
        <w:br w:type="page"/>
      </w:r>
    </w:p>
    <w:p>
      <w:pPr>
        <w:keepNext/>
        <w:spacing w:after="20" w:before="0"/>
      </w:pPr>
      <w:r>
        <w:rPr>
          <w:b/>
          <w:sz w:val="21"/>
        </w:rPr>
        <w:t>Research Specification – Options List Length – Tendency to Plan score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β0 = 0 (Stata: no intercept); −0.0152556564·zE + 0.0177638642·zA + 0.01959·zN + 0.00901465·zC + 0.0297·education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weighted_ttp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65564" cy="20116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564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Specification – Options List Length – number of pre-selected options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β0 = 0 (Stata: no intercept); −0.0152556564·zE + 0.0177638642·zA + 0.01959·zN + 0.00901465·zC + 0.0297·education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choice_length_deterministic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4538" cy="20116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538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6 bars with the same heights (7.1 / 32.9 / 33.9 / 20.4 / 5.0 / 0.7 % of agents for 0–5 options). Stata's y-axis is density, the app's is % of agents; the shape is the same.</w:t>
      </w:r>
    </w:p>
    <w:p>
      <w:pPr>
        <w:keepNext/>
        <w:spacing w:after="20" w:before="160"/>
      </w:pPr>
      <w:r>
        <w:rPr>
          <w:b/>
          <w:sz w:val="21"/>
        </w:rPr>
        <w:t>Research Specification – Loyalty – score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β1 = 0 (Stata beta1 = 0); −0.009828468·zE + 0.01096706·zO + 0.0123046·zA, then standardised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weighted_loyalty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7294" cy="201168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294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Specification – Loyalty – options ranking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β1 = 0 (Stata beta1 = 0); −0.009828468·zE + 0.01096706·zO + 0.0123046·zA, then standardised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weighted_loyalty15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7830" cy="201168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83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5 bars in the same order and heights (4.3 / 31.1 / 52.9 / 11.1 / 0.7 %). Stata numbers the segments 1–5; the app names each segment by its first option (Option 2, 5, 4, 1, 3). Stata's y-axis is density, the app's is % of agents.</w:t>
      </w:r>
    </w:p>
    <w:p>
      <w:pPr>
        <w:keepNext/>
        <w:spacing w:after="20" w:before="160"/>
      </w:pPr>
      <w:r>
        <w:rPr>
          <w:b/>
          <w:sz w:val="21"/>
        </w:rPr>
        <w:t>Research Specification – Willingness-to-Pay – score (continuous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Continuous only · β2 = 0 (Stata beta2 = 0); 0.078863062·zE − 0.012326128·zA + 0.698·z income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z_WTP_calculated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8358" cy="201168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358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Specification – Willingness-to-Pay – options ranking (continuous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Continuous only · β2 = 0 (Stata beta2 = 0); 0.078863062·zE − 0.012326128·zA + 0.698·z income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WTP_calculated15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6500" cy="20116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0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5 bars in the same order and heights (60.0 / 29.3 / 9.3 / 1.1 / 0.4 %). Stata numbers the segments 1–5; the app names each segment by its first option (Option 5, 4, 1, 2, 3). Stata's y-axis is density, the app's is % of agents.</w:t>
      </w:r>
    </w:p>
    <w:p>
      <w:pPr>
        <w:keepNext/>
        <w:spacing w:after="20" w:before="160"/>
      </w:pPr>
      <w:r>
        <w:rPr>
          <w:b/>
          <w:sz w:val="21"/>
        </w:rPr>
        <w:t>Research Specification – Willingness-to-Pay – score (categorical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Categorical only · β2 = 0 (Stata beta2 = 0); allowance levels −0.691843 (base), +0.2671588, +0.5057716, +0.9411747, +1.822471; 0.078863062·zE − 0.012326128·zA (same as the Stata code in the document)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z_WTP_categorical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62152" cy="201168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152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at_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color w:val="B00020"/>
          <w:sz w:val="17"/>
        </w:rPr>
        <w:t xml:space="preserve">Does not match – </w:t>
      </w:r>
      <w:r>
        <w:rPr>
          <w:b w:val="0"/>
          <w:color w:val="B00020"/>
          <w:sz w:val="17"/>
        </w:rPr>
        <w:t>the Stata file's stored z_WTP_categorical was made with an older formula for the lowest allowance level (57 participants); the app uses the formula printed in the Decision 4 document and matches that formula bar by bar (max bar difference here 25% of the tallest bar).</w:t>
      </w:r>
    </w:p>
    <w:p>
      <w:pPr>
        <w:keepNext/>
        <w:spacing w:after="20" w:before="160"/>
      </w:pPr>
      <w:r>
        <w:rPr>
          <w:b/>
          <w:sz w:val="21"/>
        </w:rPr>
        <w:t>Research Specification – Risk-Taking – score (continuous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Continuous only · β3 = 0 (Stata beta3 = 0); 0.025942386297·zE + 0.023699214948·zO − 0.038734315188·zA − 0.037739440732·zC − 0.025388697852·zN + 0.006874197106·z income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z_RT_calculated_hs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8129" cy="201168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129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Specification – Risk-Taking – options ranking (continuous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Continuous only · β3 = 0 (Stata beta3 = 0); 0.025942386297·zE + 0.023699214948·zO − 0.038734315188·zA − 0.037739440732·zC − 0.025388697852·zN + 0.006874197106·z income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RT_calculated15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8358" cy="201168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358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5 bars in the same order and heights (7.1 / 35.7 / 39.3 / 16.4 / 1.4 %). Stata numbers the segments 1–5; the app names each segment by its first option (Option 5, 3, 1, 2, 4). Stata's y-axis is density, the app's is % of agents.</w:t>
      </w:r>
    </w:p>
    <w:p>
      <w:pPr>
        <w:keepNext/>
        <w:spacing w:after="20" w:before="160"/>
      </w:pPr>
      <w:r>
        <w:rPr>
          <w:b/>
          <w:sz w:val="21"/>
        </w:rPr>
        <w:t>Research Specification – Risk-Taking – score (categorical income)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Categorical only · β3 = 0 (Stata beta3 = 0); allowance levels −0.0068307 (base), +0.0026128, +0.0050555, +0.0092738, +0.0179812; personality coefficients as in the continuous model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z_RT_categorical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8283" cy="201168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283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at_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Specification – Flexibility – score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β4 = 0 (Stata beta4 = 0); 0.0206·zE + 0.0294118·zO − 0.04921357·zN + 0.04339814·zA + 0.04811179·zC, anchored 0.25·z stdactions + 0.75·score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z_anchored_flexibility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6500" cy="201168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0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16 bins, same bin edges and bar heights (checked bar by bar against the Stata file). The red line in the app marks the mean (app only).</w:t>
      </w:r>
    </w:p>
    <w:p>
      <w:pPr>
        <w:keepNext/>
        <w:spacing w:after="20" w:before="160"/>
      </w:pPr>
      <w:r>
        <w:rPr>
          <w:b/>
          <w:sz w:val="21"/>
        </w:rPr>
        <w:t>Research Specification – Flexibility – options ranking</w:t>
      </w:r>
    </w:p>
    <w:p>
      <w:pPr>
        <w:keepNext/>
        <w:spacing w:after="60" w:before="0"/>
      </w:pPr>
      <w:r>
        <w:rPr>
          <w:b w:val="0"/>
          <w:color w:val="333333"/>
          <w:sz w:val="16"/>
        </w:rPr>
        <w:t>Agents 280 (participants in file order) · Income: not used · β4 = 0 (Stata beta4 = 0); 0.0206·zE + 0.0294118·zO − 0.04921357·zN + 0.04339814·zA + 0.04811179·zC, anchored 0.25·z stdactions + 0.75·score (same as Stata) · σ: none in Stata, so σ is turned off (Normal(anchor, σ) draw unchecked)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Stata: histogram Flexibility_combined15</w:t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rPr>
                <w:color w:val="666666"/>
                <w:sz w:val="16"/>
              </w:rPr>
              <w:t>App: Research Specification</w:t>
            </w:r>
          </w:p>
        </w:tc>
      </w:tr>
      <w:tr>
        <w:trPr>
          <w:cantSplit/>
        </w:trPr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2630" cy="201168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63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1970" cy="201168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_cont_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97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after="0" w:before="40"/>
      </w:pPr>
      <w:r>
        <w:rPr>
          <w:b/>
          <w:sz w:val="17"/>
        </w:rPr>
        <w:t xml:space="preserve">Match – </w:t>
      </w:r>
      <w:r>
        <w:rPr>
          <w:b w:val="0"/>
          <w:sz w:val="17"/>
        </w:rPr>
        <w:t>same 5 bars in the same order and heights (6.1 / 30.4 / 48.9 / 13.2 / 1.4 %). Stata numbers the segments 1–5; the app names each segment by its first option (Option 5, 1, 3, 4, 2). Stata's y-axis is density, the app's is % of agents.</w:t>
      </w:r>
    </w:p>
    <w:sectPr w:rsidR="00FC693F" w:rsidRPr="0006063C" w:rsidSect="00034616">
      <w:pgSz w:w="11909" w:h="16834"/>
      <w:pgMar w:top="720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emf"/><Relationship Id="rId10" Type="http://schemas.openxmlformats.org/officeDocument/2006/relationships/image" Target="media/image2.png"/><Relationship Id="rId11" Type="http://schemas.openxmlformats.org/officeDocument/2006/relationships/image" Target="media/image3.emf"/><Relationship Id="rId12" Type="http://schemas.openxmlformats.org/officeDocument/2006/relationships/image" Target="media/image4.png"/><Relationship Id="rId13" Type="http://schemas.openxmlformats.org/officeDocument/2006/relationships/image" Target="media/image5.emf"/><Relationship Id="rId14" Type="http://schemas.openxmlformats.org/officeDocument/2006/relationships/image" Target="media/image6.png"/><Relationship Id="rId15" Type="http://schemas.openxmlformats.org/officeDocument/2006/relationships/image" Target="media/image7.emf"/><Relationship Id="rId16" Type="http://schemas.openxmlformats.org/officeDocument/2006/relationships/image" Target="media/image8.png"/><Relationship Id="rId17" Type="http://schemas.openxmlformats.org/officeDocument/2006/relationships/image" Target="media/image9.emf"/><Relationship Id="rId18" Type="http://schemas.openxmlformats.org/officeDocument/2006/relationships/image" Target="media/image10.png"/><Relationship Id="rId19" Type="http://schemas.openxmlformats.org/officeDocument/2006/relationships/image" Target="media/image11.emf"/><Relationship Id="rId20" Type="http://schemas.openxmlformats.org/officeDocument/2006/relationships/image" Target="media/image12.png"/><Relationship Id="rId21" Type="http://schemas.openxmlformats.org/officeDocument/2006/relationships/image" Target="media/image13.emf"/><Relationship Id="rId22" Type="http://schemas.openxmlformats.org/officeDocument/2006/relationships/image" Target="media/image14.png"/><Relationship Id="rId23" Type="http://schemas.openxmlformats.org/officeDocument/2006/relationships/image" Target="media/image15.emf"/><Relationship Id="rId24" Type="http://schemas.openxmlformats.org/officeDocument/2006/relationships/image" Target="media/image16.png"/><Relationship Id="rId25" Type="http://schemas.openxmlformats.org/officeDocument/2006/relationships/image" Target="media/image17.emf"/><Relationship Id="rId26" Type="http://schemas.openxmlformats.org/officeDocument/2006/relationships/image" Target="media/image18.png"/><Relationship Id="rId27" Type="http://schemas.openxmlformats.org/officeDocument/2006/relationships/image" Target="media/image19.emf"/><Relationship Id="rId28" Type="http://schemas.openxmlformats.org/officeDocument/2006/relationships/image" Target="media/image20.png"/><Relationship Id="rId29" Type="http://schemas.openxmlformats.org/officeDocument/2006/relationships/image" Target="media/image21.emf"/><Relationship Id="rId30" Type="http://schemas.openxmlformats.org/officeDocument/2006/relationships/image" Target="media/image22.png"/><Relationship Id="rId31" Type="http://schemas.openxmlformats.org/officeDocument/2006/relationships/image" Target="media/image23.emf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