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e2e2e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e2e2e2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Noto Sans Symbols" w:cs="Noto Sans Symbols" w:eastAsia="Noto Sans Symbols" w:hAnsi="Noto Sans Symbols"/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MS Shell Dlg 2" w:cs="MS Shell Dlg 2" w:eastAsia="MS Shell Dlg 2" w:hAnsi="MS Shell Dlg 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MS Shell Dlg 2" w:cs="MS Shell Dlg 2" w:eastAsia="MS Shell Dlg 2" w:hAnsi="MS Shell Dlg 2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 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360" w:firstLine="0"/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Style w:val="Heading2"/>
              <w:pBdr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pBdr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Technical Writer/Webmaster/Author/Owner</w:t>
            </w: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>
            <w:shd w:fill="e2e2e2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2e2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  <w:vAlign w:val="center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©2017 Photo by Sue 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ndalus"/>
  <w:font w:name="Noto Sans Symbol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80" w:line="240" w:lineRule="auto"/>
      <w:ind w:left="0" w:right="0" w:firstLine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