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3903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3903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3903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3903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