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jc w:val="center"/>
      </w:pPr>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 xml:space="preserve">907-707-5654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1"/>
          <w:szCs w:val="21"/>
          <w:rtl w:val="0"/>
        </w:rPr>
        <w:t xml:space="preserve">S</w:t>
      </w:r>
      <w:r w:rsidDel="00000000" w:rsidR="00000000" w:rsidRPr="00000000">
        <w:rPr>
          <w:rFonts w:ascii="Times New Roman" w:cs="Times New Roman" w:eastAsia="Times New Roman" w:hAnsi="Times New Roman"/>
          <w:b w:val="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firstLine="0"/>
        <w:contextualSpacing w:val="1"/>
        <w:jc w:val="both"/>
        <w:rPr/>
      </w:pPr>
      <w:r w:rsidDel="00000000" w:rsidR="00000000" w:rsidRPr="00000000">
        <w:rPr>
          <w:rFonts w:ascii="Times New Roman" w:cs="Times New Roman" w:eastAsia="Times New Roman" w:hAnsi="Times New Roman"/>
          <w:b w:val="0"/>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jc w:val="left"/>
        <w:rPr/>
      </w:pPr>
      <w:r w:rsidDel="00000000" w:rsidR="00000000" w:rsidRPr="00000000">
        <w:rPr>
          <w:rFonts w:ascii="Times New Roman" w:cs="Times New Roman" w:eastAsia="Times New Roman" w:hAnsi="Times New Roman"/>
          <w:b w:val="0"/>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rFonts w:ascii="Times New Roman" w:cs="Times New Roman" w:eastAsia="Times New Roman" w:hAnsi="Times New Roman"/>
          <w:b w:val="0"/>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sz w:val="20"/>
          <w:szCs w:val="20"/>
          <w:rtl w:val="0"/>
        </w:rPr>
        <w:t xml:space="preserve">Organization and logistics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r w:rsidDel="00000000" w:rsidR="00000000" w:rsidRPr="00000000">
        <w:rPr>
          <w:rFonts w:ascii="Times New Roman" w:cs="Times New Roman" w:eastAsia="Times New Roman" w:hAnsi="Times New Roman"/>
          <w:b w:val="0"/>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20"/>
          <w:szCs w:val="20"/>
          <w:rtl w:val="0"/>
        </w:rPr>
        <w:t xml:space="preserve">Sue’s Tiny Costumes</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pPr>
      <w:r w:rsidDel="00000000" w:rsidR="00000000" w:rsidRPr="00000000">
        <w:rPr>
          <w:rFonts w:ascii="Times New Roman" w:cs="Times New Roman" w:eastAsia="Times New Roman" w:hAnsi="Times New Roman"/>
          <w:b w:val="0"/>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spacing w:after="0" w:before="0" w:line="240" w:lineRule="auto"/>
        <w:ind w:left="160" w:firstLine="0"/>
        <w:contextualSpacing w:val="0"/>
        <w:jc w:val="both"/>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spacing w:after="0" w:before="0"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Associate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pPr>
      <w:r w:rsidDel="00000000" w:rsidR="00000000" w:rsidRPr="00000000">
        <w:rPr>
          <w:rFonts w:ascii="Times New Roman" w:cs="Times New Roman" w:eastAsia="Times New Roman" w:hAnsi="Times New Roman"/>
          <w:b w:val="0"/>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sectPr>
      <w:headerReference r:id="rId7" w:type="default"/>
      <w:headerReference r:id="rId8" w:type="first"/>
      <w:footerReference r:id="rId9" w:type="default"/>
      <w:footerReference r:id="rId10" w:type="first"/>
      <w:pgSz w:h="15840" w:w="12240"/>
      <w:pgMar w:bottom="-2"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500"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520" w:line="240" w:lineRule="auto"/>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jc w:val="left"/>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jc w:val="left"/>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jc w:val="left"/>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header" Target="header2.xml"/></Relationships>
</file>