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Resume Bullet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Wikipedia editor and author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sidebar add pothole dodging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 on this list of skills combining and moving them around as needed to be used for resume bullets and cover letters along with blog posts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AdobePro document manipulation including merges, splits and workflows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Tracking in Excel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COGNOS report building and data tracking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Improvements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HIPAA confidentiality of mail outs during prep for mailings before a provider is sanctioned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OneNote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Office 2010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Corel Draw Suite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Budgets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Archiving Basics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 setting talk about Battle Plan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Supervisor Training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SharePoint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Design &amp;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 Visio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GANTT Charts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Formatting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Owner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Writing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VisualBasic.NET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Master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WordPress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600" w:firstLine="0"/>
        <w:contextualSpacing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sualbasic.net" TargetMode="External"/><Relationship Id="rId6" Type="http://schemas.openxmlformats.org/officeDocument/2006/relationships/hyperlink" Target="http://visualbasic.net" TargetMode="External"/></Relationships>
</file>