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Sue Darby</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Software Support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