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8"/>
          <w:szCs w:val="28"/>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Brooks College Fashion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March 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April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March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March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March 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May 2009</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Balancing Life and Work John Parker </w:t>
        <w:tab/>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Novel Install Fest IT Expo</w:t>
        <w:tab/>
        <w:t xml:space="preserve"> </w:t>
        <w:tab/>
        <w:tab/>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AmeriCorps Conference National Association for Community Volunteerism </w:t>
        <w:tab/>
        <w:tab/>
        <w:tab/>
        <w:tab/>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Association of Information Technology Professionals Charter College </w:t>
        <w:tab/>
        <w:tab/>
        <w:tab/>
        <w:tab/>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