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keepNext w:val="0"/>
              <w:keepLines w:val="0"/>
              <w:widowControl w:val="1"/>
              <w:spacing w:after="20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5">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bookmarkStart w:colFirst="0" w:colLast="0" w:name="_gjdgxs" w:id="0"/>
            <w:bookmarkEnd w:id="0"/>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hyperlink r:id="rId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 Business Applications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Corel Draw Suite</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220" w:hRule="atLeast"/>
        </w:trPr>
        <w:tc>
          <w:tcPr/>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120" w:before="120" w:line="240" w:lineRule="auto"/>
              <w:ind w:left="90" w:right="0" w:firstLine="0"/>
              <w:contextualSpacing w:val="0"/>
              <w:jc w:val="left"/>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1">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12">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hyperlink r:id="rId14">
              <w:r w:rsidDel="00000000" w:rsidR="00000000" w:rsidRPr="00000000">
                <w:rPr>
                  <w:rtl w:val="0"/>
                </w:rPr>
              </w:r>
            </w:hyperlink>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 –Online Marketing 2003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Webmaster &amp; Technical Writer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