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Social services skills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Individuals with mental &amp; physical disabilities Bipolar depression TBI albinism legally blind deaf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SWOT analysis of clients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SWOT analysis for businesses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Statistical data gather and presentation (darby report, commissioner’s dashboard CIR stats, Provider list, weekly provider processing report, report design, process design, quality improvement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