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Weekly Provider Report Procedure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report </w:t>
      </w:r>
      <w:hyperlink r:id="rId5">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Medicaid_Provider_Certification_Application_and_Expiration</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on the Report Manager</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Input dates and status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Download report to Excel</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top rows to headings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Select data with Ctrl-Shift and arrows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table with top row being headings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newest to oldest and get rid of months that are not needed </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extra columns not needed for report such as extra column 1. 2 etc., address and additional statuses. Keep only DSDSID, medicaid Code, certification Status, Provider Name, medicaid Code Start Date, medicaid Code End Date, Application Received Date, Denial Sanction Date, Record Location Date and Record Location Note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Medicaid code Z-A </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hab homes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received date old to new </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obviously old record locations older than current year</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A-Z by agency name </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Conditional format looking for duplicate records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Check agencies with 2 or more numbers and mark PCA numbers, combine HC/RL, HC/CC etc. providers into one row</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extra rows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Remove conditional formatting from the sheet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Custom sort by end date oldest to newest and provider name A-Z</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view </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view</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layout </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Landscape</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margins to narrow</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Scale to fit 1 page width</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For the header</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header insert page number of number of pages on left</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Recertification Report and the months it covers i.e. September to December in the center</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the current date and current time on the right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Go to page setup</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Sheet and repeat row 1 (headers)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page breaks at each month</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as Provider Recertification Report and the date it is done as an XLSX file (to keep fancier formatting) in the Reports &gt;Weekly folder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Send out to team</w:t>
      </w:r>
      <w:r w:rsidDel="00000000" w:rsidR="00000000" w:rsidRPr="00000000">
        <w:rPr>
          <w:rtl w:val="0"/>
        </w:rPr>
      </w:r>
    </w:p>
    <w:sectPr>
      <w:pgSz w:h="12240" w:w="158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ports.dhss.alaska.gov/Reports/Pages/Report.aspx?ItemPath=/DSDS/Providers/Medicaid_Provider_Certification_Application_and_Expiration&amp;SelectedTabId=PropertiesTab&amp;SelectedSubTabId=GenericPropertiesTab&amp;ViewMode=Detail" TargetMode="External"/></Relationships>
</file>