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/>
        <w:spacing w:after="0" w:before="2" w:line="240" w:lineRule="auto"/>
        <w:contextualSpacing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50" w:line="246" w:lineRule="auto"/>
        <w:ind w:left="3118" w:right="555" w:hanging="1172"/>
        <w:contextualSpacing w:val="0"/>
        <w:jc w:val="left"/>
        <w:rPr>
          <w:rFonts w:ascii="Arial" w:cs="Arial" w:eastAsia="Arial" w:hAnsi="Arial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0"/>
          <w:color w:val="464648"/>
          <w:sz w:val="39"/>
          <w:szCs w:val="39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color w:val="626262"/>
          <w:sz w:val="39"/>
          <w:szCs w:val="39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9"/>
          <w:szCs w:val="39"/>
          <w:rtl w:val="0"/>
        </w:rPr>
        <w:t xml:space="preserve">nking of selling,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9"/>
          <w:szCs w:val="39"/>
          <w:rtl w:val="0"/>
        </w:rPr>
        <w:t xml:space="preserve">moving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9"/>
          <w:szCs w:val="39"/>
          <w:rtl w:val="0"/>
        </w:rPr>
        <w:t xml:space="preserve">or changing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9"/>
          <w:szCs w:val="39"/>
          <w:rtl w:val="0"/>
        </w:rPr>
        <w:t xml:space="preserve">your Assisted L</w:t>
      </w:r>
      <w:r w:rsidDel="00000000" w:rsidR="00000000" w:rsidRPr="00000000">
        <w:rPr>
          <w:rFonts w:ascii="Arial" w:cs="Arial" w:eastAsia="Arial" w:hAnsi="Arial"/>
          <w:b w:val="0"/>
          <w:color w:val="626262"/>
          <w:sz w:val="39"/>
          <w:szCs w:val="39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9"/>
          <w:szCs w:val="39"/>
          <w:rtl w:val="0"/>
        </w:rPr>
        <w:t xml:space="preserve">ving Home?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816864</wp:posOffset>
            </wp:positionH>
            <wp:positionV relativeFrom="paragraph">
              <wp:posOffset>-1150227</wp:posOffset>
            </wp:positionV>
            <wp:extent cx="902208" cy="1414272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208" cy="14142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/>
        <w:spacing w:after="0" w:before="4" w:line="240" w:lineRule="auto"/>
        <w:contextualSpacing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tabs>
          <w:tab w:val="left" w:pos="1823"/>
        </w:tabs>
        <w:spacing w:after="0" w:before="0" w:line="240" w:lineRule="auto"/>
        <w:ind w:right="11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Be aware!</w:t>
        <w:tab/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Certain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types of changes require approval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20" w:line="240" w:lineRule="auto"/>
        <w:ind w:right="26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sections within the Health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and Social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13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right="13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Remember: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tabs>
          <w:tab w:val="left" w:pos="622"/>
        </w:tabs>
        <w:spacing w:after="0" w:before="29" w:line="246" w:lineRule="auto"/>
        <w:ind w:left="622" w:right="467" w:hanging="37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Medicaid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clients are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NOT for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sale;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their records and information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for sale;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prior authorizations are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NOT for sale</w:t>
      </w:r>
      <w:r w:rsidDel="00000000" w:rsidR="00000000" w:rsidRPr="00000000">
        <w:rPr>
          <w:rFonts w:ascii="Arial" w:cs="Arial" w:eastAsia="Arial" w:hAnsi="Arial"/>
          <w:b w:val="0"/>
          <w:color w:val="212123"/>
          <w:sz w:val="35"/>
          <w:szCs w:val="35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None of this transfers </w:t>
      </w:r>
      <w:r w:rsidDel="00000000" w:rsidR="00000000" w:rsidRPr="00000000">
        <w:rPr>
          <w:rFonts w:ascii="Arial" w:cs="Arial" w:eastAsia="Arial" w:hAnsi="Arial"/>
          <w:b w:val="0"/>
          <w:color w:val="212123"/>
          <w:sz w:val="35"/>
          <w:szCs w:val="3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tabs>
          <w:tab w:val="left" w:pos="603"/>
        </w:tabs>
        <w:spacing w:after="0" w:before="38" w:line="240" w:lineRule="auto"/>
        <w:ind w:left="603" w:right="0" w:hanging="34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Your ALH license does NOT sell.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tabs>
          <w:tab w:val="left" w:pos="603"/>
        </w:tabs>
        <w:spacing w:after="0" w:before="39" w:line="240" w:lineRule="auto"/>
        <w:ind w:left="603" w:right="0" w:hanging="34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Your Medicaid Certification does NOT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sell.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tabs>
          <w:tab w:val="left" w:pos="603"/>
        </w:tabs>
        <w:spacing w:after="0" w:before="39" w:line="240" w:lineRule="auto"/>
        <w:ind w:left="603" w:right="0" w:hanging="346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Your Medicaid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Enrollment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does NOT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sell.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3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6" w:lineRule="auto"/>
        <w:ind w:left="2148" w:right="104" w:hanging="203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If you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at changing address,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structure, etc., start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by calling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all authorities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involved</w:t>
      </w:r>
      <w:r w:rsidDel="00000000" w:rsidR="00000000" w:rsidRPr="00000000">
        <w:rPr>
          <w:rFonts w:ascii="Arial" w:cs="Arial" w:eastAsia="Arial" w:hAnsi="Arial"/>
          <w:b w:val="0"/>
          <w:color w:val="212123"/>
          <w:sz w:val="35"/>
          <w:szCs w:val="3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15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38" w:lineRule="auto"/>
        <w:ind w:left="1860" w:right="1874" w:hanging="23.000000000000114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Assisted Living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Licensing-269-3640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Senior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464648"/>
          <w:sz w:val="38"/>
          <w:szCs w:val="38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Disabilities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Services - 269-3666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Office of Rate Review</w:t>
      </w:r>
      <w:r w:rsidDel="00000000" w:rsidR="00000000" w:rsidRPr="00000000">
        <w:rPr>
          <w:rFonts w:ascii="Arial" w:cs="Arial" w:eastAsia="Arial" w:hAnsi="Arial"/>
          <w:b w:val="0"/>
          <w:color w:val="212123"/>
          <w:sz w:val="35"/>
          <w:szCs w:val="35"/>
          <w:rtl w:val="0"/>
        </w:rPr>
        <w:t xml:space="preserve">-2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69</w:t>
      </w:r>
      <w:r w:rsidDel="00000000" w:rsidR="00000000" w:rsidRPr="00000000">
        <w:rPr>
          <w:rFonts w:ascii="Arial" w:cs="Arial" w:eastAsia="Arial" w:hAnsi="Arial"/>
          <w:b w:val="0"/>
          <w:color w:val="212123"/>
          <w:sz w:val="35"/>
          <w:szCs w:val="35"/>
          <w:rtl w:val="0"/>
        </w:rPr>
        <w:t xml:space="preserve">-3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4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right="17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The process requires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coordination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color w:val="626262"/>
          <w:sz w:val="35"/>
          <w:szCs w:val="35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done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20" w:line="240" w:lineRule="auto"/>
        <w:ind w:left="67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It takes time</w:t>
      </w:r>
      <w:r w:rsidDel="00000000" w:rsidR="00000000" w:rsidRPr="00000000">
        <w:rPr>
          <w:rFonts w:ascii="Arial" w:cs="Arial" w:eastAsia="Arial" w:hAnsi="Arial"/>
          <w:b w:val="0"/>
          <w:color w:val="212123"/>
          <w:sz w:val="35"/>
          <w:szCs w:val="3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10" w:line="240" w:lineRule="auto"/>
        <w:ind w:right="15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We recommend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days </w:t>
      </w:r>
      <w:r w:rsidDel="00000000" w:rsidR="00000000" w:rsidRPr="00000000">
        <w:rPr>
          <w:rFonts w:ascii="Arial" w:cs="Arial" w:eastAsia="Arial" w:hAnsi="Arial"/>
          <w:b w:val="0"/>
          <w:color w:val="383838"/>
          <w:sz w:val="35"/>
          <w:szCs w:val="35"/>
          <w:rtl w:val="0"/>
        </w:rPr>
        <w:t xml:space="preserve">advance </w:t>
      </w:r>
      <w:r w:rsidDel="00000000" w:rsidR="00000000" w:rsidRPr="00000000">
        <w:rPr>
          <w:rFonts w:ascii="Arial" w:cs="Arial" w:eastAsia="Arial" w:hAnsi="Arial"/>
          <w:b w:val="0"/>
          <w:color w:val="464648"/>
          <w:sz w:val="35"/>
          <w:szCs w:val="35"/>
          <w:rtl w:val="0"/>
        </w:rPr>
        <w:t xml:space="preserve">notification!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3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before="0" w:line="240" w:lineRule="auto"/>
        <w:ind w:left="24" w:right="0" w:firstLine="0"/>
        <w:contextualSpacing w:val="0"/>
        <w:jc w:val="center"/>
        <w:rPr>
          <w:rFonts w:ascii="Arial" w:cs="Arial" w:eastAsia="Arial" w:hAnsi="Arial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64648"/>
          <w:sz w:val="35"/>
          <w:szCs w:val="35"/>
          <w:rtl w:val="0"/>
        </w:rPr>
        <w:t xml:space="preserve">Call--let us help!!</w:t>
      </w:r>
      <w:r w:rsidDel="00000000" w:rsidR="00000000" w:rsidRPr="00000000">
        <w:rPr>
          <w:rtl w:val="0"/>
        </w:rPr>
      </w:r>
    </w:p>
    <w:sectPr>
      <w:pgSz w:h="15840" w:w="12240"/>
      <w:pgMar w:bottom="280" w:top="600" w:left="760" w:right="11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0" w:hanging="375"/>
      </w:pPr>
      <w:rPr>
        <w:rFonts w:ascii="Arial" w:cs="Arial" w:eastAsia="Arial" w:hAnsi="Arial"/>
        <w:color w:val="464648"/>
        <w:sz w:val="35"/>
        <w:szCs w:val="35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