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3903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907-355-3750 Cell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HIPAA Security 201, Archiving Basics, Introduction to Share Point with Lab, Introduction to Supervisor Training, Basic</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3903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 Coordination Training for QA, Introduction to Office 2007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