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numPr>
          <w:ilvl w:val="0"/>
          <w:numId w:val="6"/>
        </w:numPr>
        <w:spacing w:after="0" w:before="0" w:line="276" w:lineRule="auto"/>
        <w:ind w:left="36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Provider Agency Folders Naming and Organizing</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Quality Assurance Folder of the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 Drive: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Main Agency Folder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 locations and provider types owned by one agency go under main folder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ResCare, Access Alaska, Catholic Community, etc</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currently certified.  Agency that start with “The” are named using the root name, leaving “The” at the end of the name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(Ark, LLC, The)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Sub-folders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a provider has more than one location, each location should have a Provider Location sub-folder listed with the agency name, and location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Soldotna, Acme Agency, Wasilla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Agency location is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only for those with more than one location.</w:t>
      </w: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Provider Agency folder or Provider Location Folder may contain the following sub-folders depending on the information pertaining to the provider:</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Services: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Waivers, PCA, Individual Care Coordinators (CCs) specific to location</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Waivers &amp; Variances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maintain one folder under main folder for all locations </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Reports of Investigations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specific to location</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Audits &amp; Reviews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-maintain one folder under main folder for all locations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DHSS Actions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-maintain one folder under main folder for all locations (Exception: denied or closed locations)</w:t>
      </w:r>
      <w:r w:rsidDel="00000000" w:rsidR="00000000" w:rsidRPr="00000000">
        <w:rPr>
          <w:rtl w:val="0"/>
        </w:rPr>
      </w:r>
    </w:p>
    <w:p w:rsidR="00000000" w:rsidDel="00000000" w:rsidP="00000000" w:rsidRDefault="00000000" w:rsidRPr="00000000">
      <w:pPr>
        <w:keepNext w:val="0"/>
        <w:keepLines w:val="0"/>
        <w:widowControl w:val="1"/>
        <w:numPr>
          <w:ilvl w:val="2"/>
          <w:numId w:val="4"/>
        </w:numP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Information maintained within each of these folders is listed below.</w:t>
      </w: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Exceptions- will be documented at the bottom of this document</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Screening Checklists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saved in associated folder, whether initial, recert, new location, or new service.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1"/>
          <w:numId w:val="10"/>
        </w:numPr>
        <w:spacing w:after="0" w:before="0" w:line="276" w:lineRule="auto"/>
        <w:ind w:left="252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Name as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“Agency Name, Service-type Checklist, Location, Date ” (Acme Agency, PCGAPP Checklist, Nome, 12-2010);</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HC123, Soldotna, Recert Checklist , 01-2012)</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Initial Applications Including Add-On Services and New Care Coordinators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Scanned and saved to provider agency folder. </w:t>
      </w:r>
      <w:r w:rsidDel="00000000" w:rsidR="00000000" w:rsidRPr="00000000">
        <w:rPr>
          <w:rtl w:val="0"/>
        </w:rPr>
      </w:r>
    </w:p>
    <w:p w:rsidR="00000000" w:rsidDel="00000000" w:rsidP="00000000" w:rsidRDefault="00000000" w:rsidRPr="00000000">
      <w:pPr>
        <w:keepNext w:val="0"/>
        <w:keepLines w:val="0"/>
        <w:widowControl w:val="1"/>
        <w:numPr>
          <w:ilvl w:val="1"/>
          <w:numId w:val="10"/>
        </w:numPr>
        <w:spacing w:after="0" w:before="0" w:line="276" w:lineRule="auto"/>
        <w:ind w:left="252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Name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Name(location), Initial Service-type App, Location, Date ” (Acme Agency-Nome,, PCGAPP, 12-13-2010); (Acme Agency, Suzie Smith, CMAPP, 01-2012); (Acme Agency, HC123, ResHab-FH, 02-2012)</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Note:  See bottom of this document to see acceptable service abbreviations</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Recertification Applications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Scanned and saved to provider agency folder, in sub-folder for location.  If more than one location, should be sub-folders named for each location.  </w:t>
      </w:r>
      <w:r w:rsidDel="00000000" w:rsidR="00000000" w:rsidRPr="00000000">
        <w:rPr>
          <w:rtl w:val="0"/>
        </w:rPr>
      </w:r>
    </w:p>
    <w:p w:rsidR="00000000" w:rsidDel="00000000" w:rsidP="00000000" w:rsidRDefault="00000000" w:rsidRPr="00000000">
      <w:pPr>
        <w:keepNext w:val="0"/>
        <w:keepLines w:val="0"/>
        <w:widowControl w:val="1"/>
        <w:numPr>
          <w:ilvl w:val="1"/>
          <w:numId w:val="10"/>
        </w:numPr>
        <w:spacing w:after="0" w:before="0" w:line="276" w:lineRule="auto"/>
        <w:ind w:left="252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Name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Name-(Location), Provider #, Recert, Date”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Agency-Soldotna, HC123,  Recert, 01-2012)</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Cert Forms: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saved in the appropriate folder or subfolder.  For Cert Forms only, the date of the document will align with the end date of that certification. Acceptable names: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25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w:t>
        <w:tab/>
        <w:tab/>
        <w:tab/>
        <w:t xml:space="preserve">Acme Agency-Anc,HCAPP,InitialCertForm,01-31-2012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App Denied:          Acme Agency-Anc,HCD,InitialCertForm,01-31-2012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App Withdrawn:   Acme Agency-Anc,HCW,InitialCertForm,01-31-2012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App Cert/Not Enrolled: Acme Agency-Anc,HCX,InitialCertForm,01-31-2012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Recertification:</w:t>
        <w:tab/>
        <w:tab/>
        <w:t xml:space="preserve">Acme Agency-Anc,HC123,RecertForm,01-31-2013</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Extended Certification:</w:t>
        <w:tab/>
        <w:t xml:space="preserve">Acme Agency-Anc,HC123,ExtCertForm,03-31-2013</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Corrected Certification:  Acme Agency-Anc,HC123,CorrectCertForm,03-31-2014</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Ended Certification:</w:t>
        <w:tab/>
        <w:t xml:space="preserve">Acme Agency-Anc,HC123,EndCertForm,01-31-2014</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Services: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the agency provides both waivers and PCA, there should be subfolders for each service, at each location.  Whenever a new service category (CMG, HC, RL, EM, PCG) is added by an agency, a subfolder is created either in the main agency or in the location folder. Name them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Agency-Wasilla-PCA, Acme Agency-Anchorage-Waiver Services).  </w:t>
      </w:r>
      <w:r w:rsidDel="00000000" w:rsidR="00000000" w:rsidRPr="00000000">
        <w:rPr>
          <w:rtl w:val="0"/>
        </w:rPr>
      </w:r>
    </w:p>
    <w:p w:rsidR="00000000" w:rsidDel="00000000" w:rsidP="00000000" w:rsidRDefault="00000000" w:rsidRPr="00000000">
      <w:pPr>
        <w:keepNext w:val="0"/>
        <w:keepLines w:val="0"/>
        <w:widowControl w:val="1"/>
        <w:numPr>
          <w:ilvl w:val="4"/>
          <w:numId w:val="3"/>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Use same naming process under location documents above.</w:t>
      </w:r>
      <w:r w:rsidDel="00000000" w:rsidR="00000000" w:rsidRPr="00000000">
        <w:rPr>
          <w:rtl w:val="0"/>
        </w:rPr>
      </w:r>
    </w:p>
    <w:p w:rsidR="00000000" w:rsidDel="00000000" w:rsidP="00000000" w:rsidRDefault="00000000" w:rsidRPr="00000000">
      <w:pPr>
        <w:keepNext w:val="0"/>
        <w:keepLines w:val="0"/>
        <w:widowControl w:val="1"/>
        <w:numPr>
          <w:ilvl w:val="4"/>
          <w:numId w:val="3"/>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Care Coordination: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there is multiple care coordinators certified under one agency, a sub-folder/s maybe created and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Individual CCs Certified” (Acme Agency, Individual CC Certified).  If the agency is even larger, additional sub-folders maybe created and named “Acme Agency, Individual CCs Certified 2011)</w:t>
      </w:r>
      <w:r w:rsidDel="00000000" w:rsidR="00000000" w:rsidRPr="00000000">
        <w:rPr>
          <w:rtl w:val="0"/>
        </w:rPr>
      </w:r>
    </w:p>
    <w:p w:rsidR="00000000" w:rsidDel="00000000" w:rsidP="00000000" w:rsidRDefault="00000000" w:rsidRPr="00000000">
      <w:pPr>
        <w:keepNext w:val="0"/>
        <w:keepLines w:val="0"/>
        <w:widowControl w:val="1"/>
        <w:numPr>
          <w:ilvl w:val="5"/>
          <w:numId w:val="6"/>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Individual Care Coordinators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Initial application packets and associated documents scan to the provider agency folder and name: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CC Name, CMX, Date of App” (Acme Agency, Snow White, CMX, 01-2012).</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there is a sub-folder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“Individual CC Certified in 2012”</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then it should be saved in that folder.  If there is an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CMG folder”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save it there.  If there is no separate folder labeled either CC or CMG, save out in main folder.  </w:t>
      </w: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Waivers &amp; Variances: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Name a sub-folder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Waivers &amp; Variances);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additional sub-folders created as needed and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“Name of Agency, CPR Waivers, date” (Acme Agency CPR Waivers, 2012) and “Name of Agency, Variances, date” (Acme Agency Variances, 2012).</w:t>
      </w:r>
      <w:r w:rsidDel="00000000" w:rsidR="00000000" w:rsidRPr="00000000">
        <w:rPr>
          <w:rtl w:val="0"/>
        </w:rPr>
      </w:r>
    </w:p>
    <w:p w:rsidR="00000000" w:rsidDel="00000000" w:rsidP="00000000" w:rsidRDefault="00000000" w:rsidRPr="00000000">
      <w:pPr>
        <w:keepNext w:val="0"/>
        <w:keepLines w:val="0"/>
        <w:widowControl w:val="1"/>
        <w:numPr>
          <w:ilvl w:val="4"/>
          <w:numId w:val="6"/>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w:t>
      </w:r>
      <w:r w:rsidDel="00000000" w:rsidR="00000000" w:rsidRPr="00000000">
        <w:rPr>
          <w:rtl w:val="0"/>
        </w:rPr>
      </w:r>
    </w:p>
    <w:p w:rsidR="00000000" w:rsidDel="00000000" w:rsidP="00000000" w:rsidRDefault="00000000" w:rsidRPr="00000000">
      <w:pPr>
        <w:keepNext w:val="0"/>
        <w:keepLines w:val="0"/>
        <w:widowControl w:val="1"/>
        <w:numPr>
          <w:ilvl w:val="5"/>
          <w:numId w:val="5"/>
        </w:numPr>
        <w:spacing w:after="0" w:before="0" w:line="276" w:lineRule="auto"/>
        <w:ind w:left="216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CPR/First Aid Waivers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Save all waivers for that provider in that sub-folder. Name the scanned document: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CPR, Agency Name, Last Name, First Initial, (month-year)” (CPR, Acme Agency, Smith, R. 01-2012)</w:t>
      </w:r>
      <w:r w:rsidDel="00000000" w:rsidR="00000000" w:rsidRPr="00000000">
        <w:rPr>
          <w:rtl w:val="0"/>
        </w:rPr>
      </w:r>
    </w:p>
    <w:p w:rsidR="00000000" w:rsidDel="00000000" w:rsidP="00000000" w:rsidRDefault="00000000" w:rsidRPr="00000000">
      <w:pPr>
        <w:keepNext w:val="0"/>
        <w:keepLines w:val="0"/>
        <w:widowControl w:val="1"/>
        <w:numPr>
          <w:ilvl w:val="5"/>
          <w:numId w:val="5"/>
        </w:numPr>
        <w:spacing w:after="0" w:before="0" w:line="276" w:lineRule="auto"/>
        <w:ind w:left="216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Variances: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When staff processes a variance for an agency, that staff will place a link into that agency folder to the “Variance Log”.</w:t>
      </w: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Reports of Investigation: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subfolder created as soon as reports are to be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ROI”.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Other subfolders may be created for additional locations or years.</w:t>
      </w:r>
      <w:r w:rsidDel="00000000" w:rsidR="00000000" w:rsidRPr="00000000">
        <w:rPr>
          <w:rtl w:val="0"/>
        </w:rPr>
      </w:r>
    </w:p>
    <w:p w:rsidR="00000000" w:rsidDel="00000000" w:rsidP="00000000" w:rsidRDefault="00000000" w:rsidRPr="00000000">
      <w:pPr>
        <w:keepNext w:val="0"/>
        <w:keepLines w:val="0"/>
        <w:widowControl w:val="1"/>
        <w:numPr>
          <w:ilvl w:val="3"/>
          <w:numId w:val="6"/>
        </w:numPr>
        <w:spacing w:after="0" w:before="0" w:line="276"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Saved as named by ALH Licensing.</w:t>
      </w: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Audits &amp; Reviews: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subfolder to be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Audits &amp; Reviews: (Acme Agency,  HC123, Audits &amp; Reviews) </w:t>
      </w:r>
      <w:r w:rsidDel="00000000" w:rsidR="00000000" w:rsidRPr="00000000">
        <w:rPr>
          <w:rtl w:val="0"/>
        </w:rPr>
      </w:r>
    </w:p>
    <w:p w:rsidR="00000000" w:rsidDel="00000000" w:rsidP="00000000" w:rsidRDefault="00000000" w:rsidRPr="00000000">
      <w:pPr>
        <w:keepNext w:val="0"/>
        <w:keepLines w:val="0"/>
        <w:widowControl w:val="1"/>
        <w:numPr>
          <w:ilvl w:val="3"/>
          <w:numId w:val="6"/>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w:t>
      </w:r>
      <w:r w:rsidDel="00000000" w:rsidR="00000000" w:rsidRPr="00000000">
        <w:rPr>
          <w:rtl w:val="0"/>
        </w:rPr>
      </w:r>
    </w:p>
    <w:p w:rsidR="00000000" w:rsidDel="00000000" w:rsidP="00000000" w:rsidRDefault="00000000" w:rsidRPr="00000000">
      <w:pPr>
        <w:keepNext w:val="0"/>
        <w:keepLines w:val="0"/>
        <w:widowControl w:val="1"/>
        <w:numPr>
          <w:ilvl w:val="4"/>
          <w:numId w:val="1"/>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Site Reviews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Name and save file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Site Review, date” (Acme, HC123, Site Review, 01-2012)</w:t>
      </w:r>
      <w:r w:rsidDel="00000000" w:rsidR="00000000" w:rsidRPr="00000000">
        <w:rPr>
          <w:rtl w:val="0"/>
        </w:rPr>
      </w:r>
    </w:p>
    <w:p w:rsidR="00000000" w:rsidDel="00000000" w:rsidP="00000000" w:rsidRDefault="00000000" w:rsidRPr="00000000">
      <w:pPr>
        <w:keepNext w:val="0"/>
        <w:keepLines w:val="0"/>
        <w:widowControl w:val="1"/>
        <w:numPr>
          <w:ilvl w:val="4"/>
          <w:numId w:val="1"/>
        </w:numPr>
        <w:spacing w:after="0" w:before="0" w:line="276" w:lineRule="auto"/>
        <w:ind w:left="180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Audit Reports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subfolder if needed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Audit Reports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name and save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document as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“Acme Agency, Audit, 01-2012”.</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DHSS Actions: Name as “Agency Name, DHSS Actions” (Acme Agency, DHSS Actions)</w:t>
      </w:r>
      <w:r w:rsidDel="00000000" w:rsidR="00000000" w:rsidRPr="00000000">
        <w:rPr>
          <w:rtl w:val="0"/>
        </w:rPr>
      </w:r>
    </w:p>
    <w:p w:rsidR="00000000" w:rsidDel="00000000" w:rsidP="00000000" w:rsidRDefault="00000000" w:rsidRPr="00000000">
      <w:pPr>
        <w:keepNext w:val="0"/>
        <w:keepLines w:val="0"/>
        <w:widowControl w:val="1"/>
        <w:numPr>
          <w:ilvl w:val="3"/>
          <w:numId w:val="6"/>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w:t>
      </w:r>
      <w:r w:rsidDel="00000000" w:rsidR="00000000" w:rsidRPr="00000000">
        <w:rPr>
          <w:rtl w:val="0"/>
        </w:rPr>
      </w:r>
    </w:p>
    <w:p w:rsidR="00000000" w:rsidDel="00000000" w:rsidP="00000000" w:rsidRDefault="00000000" w:rsidRPr="00000000">
      <w:pPr>
        <w:keepNext w:val="0"/>
        <w:keepLines w:val="0"/>
        <w:widowControl w:val="1"/>
        <w:numPr>
          <w:ilvl w:val="4"/>
          <w:numId w:val="2"/>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Formal Correspondence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(Letters):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documents should be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Name of document, date” (Acme Agency, HC123, Invitation to Recertify, 01-2012).  </w:t>
      </w:r>
      <w:r w:rsidDel="00000000" w:rsidR="00000000" w:rsidRPr="00000000">
        <w:rPr>
          <w:rtl w:val="0"/>
        </w:rPr>
      </w:r>
    </w:p>
    <w:p w:rsidR="00000000" w:rsidDel="00000000" w:rsidP="00000000" w:rsidRDefault="00000000" w:rsidRPr="00000000">
      <w:pPr>
        <w:keepNext w:val="0"/>
        <w:keepLines w:val="0"/>
        <w:widowControl w:val="1"/>
        <w:numPr>
          <w:ilvl w:val="4"/>
          <w:numId w:val="2"/>
        </w:numPr>
        <w:spacing w:after="0" w:before="0" w:line="276" w:lineRule="auto"/>
        <w:ind w:left="180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Records Requests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should be named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Records Request, date” (Acme Agency, HC123, Chore Services Records Request, 01-2012)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Include copy of original request as part of scanned document. </w:t>
      </w:r>
      <w:r w:rsidDel="00000000" w:rsidR="00000000" w:rsidRPr="00000000">
        <w:rPr>
          <w:rtl w:val="0"/>
        </w:rPr>
      </w:r>
    </w:p>
    <w:p w:rsidR="00000000" w:rsidDel="00000000" w:rsidP="00000000" w:rsidRDefault="00000000" w:rsidRPr="00000000">
      <w:pPr>
        <w:keepNext w:val="0"/>
        <w:keepLines w:val="0"/>
        <w:widowControl w:val="1"/>
        <w:numPr>
          <w:ilvl w:val="4"/>
          <w:numId w:val="2"/>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Investigation Reports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documents should be named</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“Agency Name, Provider #, Investigation, date”: (Acme Agency, RL000, Fraud Investigation, 01-2012).</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08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08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Acceptable Service Abbreviations:</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Care Coordination Services </w:t>
        <w:tab/>
        <w:tab/>
        <w:tab/>
        <w:tab/>
        <w:t xml:space="preserve">(CMG)</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Residential Habilitation Services</w:t>
        <w:tab/>
        <w:tab/>
        <w:tab/>
        <w:t xml:space="preserve">(ResHab)</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Day Habilitation Services</w:t>
        <w:tab/>
        <w:tab/>
        <w:tab/>
        <w:tab/>
        <w:t xml:space="preserve">(DayHab)</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Supported Employment Habilitation Services</w:t>
        <w:tab/>
        <w:t xml:space="preserve">(SupEmpHab)</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Adult Day Services</w:t>
        <w:tab/>
        <w:tab/>
        <w:tab/>
        <w:tab/>
        <w:tab/>
        <w:t xml:space="preserve">(AduDay)</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Residential Supported Living Services</w:t>
        <w:tab/>
        <w:tab/>
        <w:t xml:space="preserve">(RSL)</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Respite Services</w:t>
        <w:tab/>
        <w:tab/>
        <w:tab/>
        <w:tab/>
        <w:tab/>
        <w:t xml:space="preserve">(Resp)</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Intensive Active Treatment Services</w:t>
        <w:tab/>
        <w:tab/>
        <w:tab/>
        <w:t xml:space="preserve">(IAT)</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Environmental Modification Services</w:t>
        <w:tab/>
        <w:tab/>
        <w:t xml:space="preserve">(Emod)</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Chore Services</w:t>
        <w:tab/>
        <w:tab/>
        <w:tab/>
        <w:tab/>
        <w:tab/>
        <w:t xml:space="preserve">(Chor)</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Transportation Services</w:t>
        <w:tab/>
        <w:tab/>
        <w:tab/>
        <w:tab/>
        <w:t xml:space="preserve">(Trans)</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Meal Services</w:t>
        <w:tab/>
        <w:tab/>
        <w:tab/>
        <w:tab/>
        <w:tab/>
        <w:t xml:space="preserve">(Meal)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08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1-A CLOSED PROVIDER AGENCY FOLDERS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 closed agency folders shall be placed here after all correspondence and actions have been completed and packet has been scanned and saved, by the SDS staff person handling the closure.  </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1-A DENIED OR WITHDRAWN APPLICATIONS: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 agency folders where the application was denied or withdrawn shall be placed here, by the staff person handling the action, after all correspondence and scanning of documents are completed.  </w:t>
      </w: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All incomplete, denied or withdrawn applications are saved in the root-agency (primary) folder as follows”</w:t>
      </w:r>
      <w:r w:rsidDel="00000000" w:rsidR="00000000" w:rsidRPr="00000000">
        <w:rPr>
          <w:rtl w:val="0"/>
        </w:rPr>
      </w:r>
    </w:p>
    <w:p w:rsidR="00000000" w:rsidDel="00000000" w:rsidP="00000000" w:rsidRDefault="00000000" w:rsidRPr="00000000">
      <w:pPr>
        <w:keepNext w:val="0"/>
        <w:keepLines w:val="0"/>
        <w:widowControl w:val="1"/>
        <w:numPr>
          <w:ilvl w:val="3"/>
          <w:numId w:val="6"/>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Incomplete Applications: </w:t>
      </w:r>
      <w:r w:rsidDel="00000000" w:rsidR="00000000" w:rsidRPr="00000000">
        <w:rPr>
          <w:rtl w:val="0"/>
        </w:rPr>
      </w:r>
    </w:p>
    <w:p w:rsidR="00000000" w:rsidDel="00000000" w:rsidP="00000000" w:rsidRDefault="00000000" w:rsidRPr="00000000">
      <w:pPr>
        <w:keepNext w:val="0"/>
        <w:keepLines w:val="0"/>
        <w:widowControl w:val="1"/>
        <w:numPr>
          <w:ilvl w:val="4"/>
          <w:numId w:val="6"/>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Letter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“Agency-name(location), App Type, incomplete, date .docx (Acme Agency-Frbks, HCAPP, Incomplete, 02-2012.docx)</w:t>
      </w:r>
      <w:r w:rsidDel="00000000" w:rsidR="00000000" w:rsidRPr="00000000">
        <w:rPr>
          <w:rtl w:val="0"/>
        </w:rPr>
      </w:r>
    </w:p>
    <w:p w:rsidR="00000000" w:rsidDel="00000000" w:rsidP="00000000" w:rsidRDefault="00000000" w:rsidRPr="00000000">
      <w:pPr>
        <w:keepNext w:val="0"/>
        <w:keepLines w:val="0"/>
        <w:widowControl w:val="1"/>
        <w:numPr>
          <w:ilvl w:val="4"/>
          <w:numId w:val="6"/>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 is scanned and saved same as letter above,  with .pdf extension</w:t>
      </w:r>
      <w:r w:rsidDel="00000000" w:rsidR="00000000" w:rsidRPr="00000000">
        <w:rPr>
          <w:rtl w:val="0"/>
        </w:rPr>
      </w:r>
    </w:p>
    <w:p w:rsidR="00000000" w:rsidDel="00000000" w:rsidP="00000000" w:rsidRDefault="00000000" w:rsidRPr="00000000">
      <w:pPr>
        <w:keepNext w:val="0"/>
        <w:keepLines w:val="0"/>
        <w:widowControl w:val="1"/>
        <w:numPr>
          <w:ilvl w:val="3"/>
          <w:numId w:val="6"/>
        </w:numP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Denied Applications: </w:t>
      </w:r>
      <w:r w:rsidDel="00000000" w:rsidR="00000000" w:rsidRPr="00000000">
        <w:rPr>
          <w:rtl w:val="0"/>
        </w:rPr>
      </w:r>
    </w:p>
    <w:p w:rsidR="00000000" w:rsidDel="00000000" w:rsidP="00000000" w:rsidRDefault="00000000" w:rsidRPr="00000000">
      <w:pPr>
        <w:keepNext w:val="0"/>
        <w:keepLines w:val="0"/>
        <w:widowControl w:val="1"/>
        <w:numPr>
          <w:ilvl w:val="4"/>
          <w:numId w:val="6"/>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Letter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“Agency-name(Location), App Type, date .docx  (Acme Agency-Kodiak, HCD, 02-2012.docx)</w:t>
      </w:r>
      <w:r w:rsidDel="00000000" w:rsidR="00000000" w:rsidRPr="00000000">
        <w:rPr>
          <w:rtl w:val="0"/>
        </w:rPr>
      </w:r>
    </w:p>
    <w:p w:rsidR="00000000" w:rsidDel="00000000" w:rsidP="00000000" w:rsidRDefault="00000000" w:rsidRPr="00000000">
      <w:pPr>
        <w:keepNext w:val="0"/>
        <w:keepLines w:val="0"/>
        <w:widowControl w:val="1"/>
        <w:numPr>
          <w:ilvl w:val="4"/>
          <w:numId w:val="6"/>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 is scanned and saved same as letter above,  with .pdf extension</w:t>
      </w:r>
      <w:r w:rsidDel="00000000" w:rsidR="00000000" w:rsidRPr="00000000">
        <w:rPr>
          <w:rtl w:val="0"/>
        </w:rPr>
      </w:r>
    </w:p>
    <w:p w:rsidR="00000000" w:rsidDel="00000000" w:rsidP="00000000" w:rsidRDefault="00000000" w:rsidRPr="00000000">
      <w:pPr>
        <w:keepNext w:val="0"/>
        <w:keepLines w:val="0"/>
        <w:widowControl w:val="1"/>
        <w:numPr>
          <w:ilvl w:val="3"/>
          <w:numId w:val="6"/>
        </w:numP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Withdrawn Applications: </w:t>
      </w:r>
      <w:r w:rsidDel="00000000" w:rsidR="00000000" w:rsidRPr="00000000">
        <w:rPr>
          <w:rtl w:val="0"/>
        </w:rPr>
      </w:r>
    </w:p>
    <w:p w:rsidR="00000000" w:rsidDel="00000000" w:rsidP="00000000" w:rsidRDefault="00000000" w:rsidRPr="00000000">
      <w:pPr>
        <w:keepNext w:val="0"/>
        <w:keepLines w:val="0"/>
        <w:widowControl w:val="1"/>
        <w:numPr>
          <w:ilvl w:val="4"/>
          <w:numId w:val="6"/>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Letter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“Agency-name(Location), App Type, date .docx  (Acme Agency-Anc, HCW, 02-2012.docx)</w:t>
      </w:r>
      <w:r w:rsidDel="00000000" w:rsidR="00000000" w:rsidRPr="00000000">
        <w:rPr>
          <w:rtl w:val="0"/>
        </w:rPr>
      </w:r>
    </w:p>
    <w:p w:rsidR="00000000" w:rsidDel="00000000" w:rsidP="00000000" w:rsidRDefault="00000000" w:rsidRPr="00000000">
      <w:pPr>
        <w:keepNext w:val="0"/>
        <w:keepLines w:val="0"/>
        <w:widowControl w:val="1"/>
        <w:numPr>
          <w:ilvl w:val="4"/>
          <w:numId w:val="6"/>
        </w:numPr>
        <w:spacing w:after="20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 is scanned and saved same as letter above,  with .pdf extension</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QA Provider Certification-Electronic Folders Processes</w:t>
      <w:tab/>
      <w:t xml:space="preserve">10/2012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72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QA Provider Certification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Provider Electronic Folders Processes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Updated 10-2012</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360"/>
      </w:pPr>
      <w:rPr>
        <w:rFonts w:ascii="Arial" w:cs="Arial" w:eastAsia="Arial" w:hAnsi="Arial"/>
      </w:rPr>
    </w:lvl>
    <w:lvl w:ilvl="1">
      <w:start w:val="1"/>
      <w:numFmt w:val="bullet"/>
      <w:lvlText w:val="➢"/>
      <w:lvlJc w:val="left"/>
      <w:pPr>
        <w:ind w:left="720" w:firstLine="1080"/>
      </w:pPr>
      <w:rPr>
        <w:rFonts w:ascii="Arial" w:cs="Arial" w:eastAsia="Arial" w:hAnsi="Arial"/>
      </w:rPr>
    </w:lvl>
    <w:lvl w:ilvl="2">
      <w:start w:val="1"/>
      <w:numFmt w:val="bullet"/>
      <w:lvlText w:val="▪"/>
      <w:lvlJc w:val="left"/>
      <w:pPr>
        <w:ind w:left="1080" w:firstLine="1800"/>
      </w:pPr>
      <w:rPr>
        <w:rFonts w:ascii="Arial" w:cs="Arial" w:eastAsia="Arial" w:hAnsi="Arial"/>
      </w:rPr>
    </w:lvl>
    <w:lvl w:ilvl="3">
      <w:start w:val="1"/>
      <w:numFmt w:val="bullet"/>
      <w:lvlText w:val="●"/>
      <w:lvlJc w:val="left"/>
      <w:pPr>
        <w:ind w:left="1440" w:firstLine="2520"/>
      </w:pPr>
      <w:rPr>
        <w:rFonts w:ascii="Arial" w:cs="Arial" w:eastAsia="Arial" w:hAnsi="Arial"/>
      </w:rPr>
    </w:lvl>
    <w:lvl w:ilvl="4">
      <w:start w:val="1"/>
      <w:numFmt w:val="bullet"/>
      <w:lvlText w:val="o"/>
      <w:lvlJc w:val="left"/>
      <w:pPr>
        <w:ind w:left="1800" w:firstLine="3240"/>
      </w:pPr>
      <w:rPr>
        <w:rFonts w:ascii="Arial" w:cs="Arial" w:eastAsia="Arial" w:hAnsi="Arial"/>
      </w:rPr>
    </w:lvl>
    <w:lvl w:ilvl="5">
      <w:start w:val="1"/>
      <w:numFmt w:val="bullet"/>
      <w:lvlText w:val="➢"/>
      <w:lvlJc w:val="left"/>
      <w:pPr>
        <w:ind w:left="2160" w:firstLine="3960"/>
      </w:pPr>
      <w:rPr>
        <w:rFonts w:ascii="Arial" w:cs="Arial" w:eastAsia="Arial" w:hAnsi="Arial"/>
      </w:rPr>
    </w:lvl>
    <w:lvl w:ilvl="6">
      <w:start w:val="1"/>
      <w:numFmt w:val="bullet"/>
      <w:lvlText w:val="▪"/>
      <w:lvlJc w:val="left"/>
      <w:pPr>
        <w:ind w:left="2520" w:firstLine="4680"/>
      </w:pPr>
      <w:rPr>
        <w:rFonts w:ascii="Arial" w:cs="Arial" w:eastAsia="Arial" w:hAnsi="Arial"/>
      </w:rPr>
    </w:lvl>
    <w:lvl w:ilvl="7">
      <w:start w:val="1"/>
      <w:numFmt w:val="bullet"/>
      <w:lvlText w:val="●"/>
      <w:lvlJc w:val="left"/>
      <w:pPr>
        <w:ind w:left="2880" w:firstLine="5400"/>
      </w:pPr>
      <w:rPr>
        <w:rFonts w:ascii="Arial" w:cs="Arial" w:eastAsia="Arial" w:hAnsi="Arial"/>
      </w:rPr>
    </w:lvl>
    <w:lvl w:ilvl="8">
      <w:start w:val="1"/>
      <w:numFmt w:val="bullet"/>
      <w:lvlText w:val="♦"/>
      <w:lvlJc w:val="left"/>
      <w:pPr>
        <w:ind w:left="3240" w:firstLine="6120"/>
      </w:pPr>
      <w:rPr>
        <w:rFonts w:ascii="Arial" w:cs="Arial" w:eastAsia="Arial" w:hAnsi="Arial"/>
      </w:rPr>
    </w:lvl>
  </w:abstractNum>
  <w:abstractNum w:abstractNumId="2">
    <w:lvl w:ilvl="0">
      <w:start w:val="1"/>
      <w:numFmt w:val="bullet"/>
      <w:lvlText w:val="❖"/>
      <w:lvlJc w:val="left"/>
      <w:pPr>
        <w:ind w:left="360" w:firstLine="360"/>
      </w:pPr>
      <w:rPr>
        <w:rFonts w:ascii="Arial" w:cs="Arial" w:eastAsia="Arial" w:hAnsi="Arial"/>
      </w:rPr>
    </w:lvl>
    <w:lvl w:ilvl="1">
      <w:start w:val="1"/>
      <w:numFmt w:val="bullet"/>
      <w:lvlText w:val="➢"/>
      <w:lvlJc w:val="left"/>
      <w:pPr>
        <w:ind w:left="720" w:firstLine="1080"/>
      </w:pPr>
      <w:rPr>
        <w:rFonts w:ascii="Arial" w:cs="Arial" w:eastAsia="Arial" w:hAnsi="Arial"/>
      </w:rPr>
    </w:lvl>
    <w:lvl w:ilvl="2">
      <w:start w:val="1"/>
      <w:numFmt w:val="bullet"/>
      <w:lvlText w:val="▪"/>
      <w:lvlJc w:val="left"/>
      <w:pPr>
        <w:ind w:left="1080" w:firstLine="1800"/>
      </w:pPr>
      <w:rPr>
        <w:rFonts w:ascii="Arial" w:cs="Arial" w:eastAsia="Arial" w:hAnsi="Arial"/>
      </w:rPr>
    </w:lvl>
    <w:lvl w:ilvl="3">
      <w:start w:val="1"/>
      <w:numFmt w:val="bullet"/>
      <w:lvlText w:val="●"/>
      <w:lvlJc w:val="left"/>
      <w:pPr>
        <w:ind w:left="1440" w:firstLine="2520"/>
      </w:pPr>
      <w:rPr>
        <w:rFonts w:ascii="Arial" w:cs="Arial" w:eastAsia="Arial" w:hAnsi="Arial"/>
      </w:rPr>
    </w:lvl>
    <w:lvl w:ilvl="4">
      <w:start w:val="1"/>
      <w:numFmt w:val="bullet"/>
      <w:lvlText w:val="o"/>
      <w:lvlJc w:val="left"/>
      <w:pPr>
        <w:ind w:left="1800" w:firstLine="3240"/>
      </w:pPr>
      <w:rPr>
        <w:rFonts w:ascii="Arial" w:cs="Arial" w:eastAsia="Arial" w:hAnsi="Arial"/>
      </w:rPr>
    </w:lvl>
    <w:lvl w:ilvl="5">
      <w:start w:val="1"/>
      <w:numFmt w:val="bullet"/>
      <w:lvlText w:val="➢"/>
      <w:lvlJc w:val="left"/>
      <w:pPr>
        <w:ind w:left="2160" w:firstLine="3960"/>
      </w:pPr>
      <w:rPr>
        <w:rFonts w:ascii="Arial" w:cs="Arial" w:eastAsia="Arial" w:hAnsi="Arial"/>
      </w:rPr>
    </w:lvl>
    <w:lvl w:ilvl="6">
      <w:start w:val="1"/>
      <w:numFmt w:val="bullet"/>
      <w:lvlText w:val="▪"/>
      <w:lvlJc w:val="left"/>
      <w:pPr>
        <w:ind w:left="2520" w:firstLine="4680"/>
      </w:pPr>
      <w:rPr>
        <w:rFonts w:ascii="Arial" w:cs="Arial" w:eastAsia="Arial" w:hAnsi="Arial"/>
      </w:rPr>
    </w:lvl>
    <w:lvl w:ilvl="7">
      <w:start w:val="1"/>
      <w:numFmt w:val="bullet"/>
      <w:lvlText w:val="●"/>
      <w:lvlJc w:val="left"/>
      <w:pPr>
        <w:ind w:left="2880" w:firstLine="5400"/>
      </w:pPr>
      <w:rPr>
        <w:rFonts w:ascii="Arial" w:cs="Arial" w:eastAsia="Arial" w:hAnsi="Arial"/>
      </w:rPr>
    </w:lvl>
    <w:lvl w:ilvl="8">
      <w:start w:val="1"/>
      <w:numFmt w:val="bullet"/>
      <w:lvlText w:val="♦"/>
      <w:lvlJc w:val="left"/>
      <w:pPr>
        <w:ind w:left="3240" w:firstLine="6120"/>
      </w:pPr>
      <w:rPr>
        <w:rFonts w:ascii="Arial" w:cs="Arial" w:eastAsia="Arial" w:hAnsi="Arial"/>
      </w:rPr>
    </w:lvl>
  </w:abstractNum>
  <w:abstractNum w:abstractNumId="3">
    <w:lvl w:ilvl="0">
      <w:start w:val="1"/>
      <w:numFmt w:val="bullet"/>
      <w:lvlText w:val="❖"/>
      <w:lvlJc w:val="left"/>
      <w:pPr>
        <w:ind w:left="360" w:firstLine="360"/>
      </w:pPr>
      <w:rPr>
        <w:rFonts w:ascii="Arial" w:cs="Arial" w:eastAsia="Arial" w:hAnsi="Arial"/>
      </w:rPr>
    </w:lvl>
    <w:lvl w:ilvl="1">
      <w:start w:val="1"/>
      <w:numFmt w:val="bullet"/>
      <w:lvlText w:val="➢"/>
      <w:lvlJc w:val="left"/>
      <w:pPr>
        <w:ind w:left="720" w:firstLine="1080"/>
      </w:pPr>
      <w:rPr>
        <w:rFonts w:ascii="Arial" w:cs="Arial" w:eastAsia="Arial" w:hAnsi="Arial"/>
      </w:rPr>
    </w:lvl>
    <w:lvl w:ilvl="2">
      <w:start w:val="1"/>
      <w:numFmt w:val="bullet"/>
      <w:lvlText w:val="▪"/>
      <w:lvlJc w:val="left"/>
      <w:pPr>
        <w:ind w:left="1080" w:firstLine="1800"/>
      </w:pPr>
      <w:rPr>
        <w:rFonts w:ascii="Arial" w:cs="Arial" w:eastAsia="Arial" w:hAnsi="Arial"/>
      </w:rPr>
    </w:lvl>
    <w:lvl w:ilvl="3">
      <w:start w:val="1"/>
      <w:numFmt w:val="bullet"/>
      <w:lvlText w:val="o"/>
      <w:lvlJc w:val="left"/>
      <w:pPr>
        <w:ind w:left="1440" w:firstLine="2520"/>
      </w:pPr>
      <w:rPr>
        <w:rFonts w:ascii="Arial" w:cs="Arial" w:eastAsia="Arial" w:hAnsi="Arial"/>
      </w:rPr>
    </w:lvl>
    <w:lvl w:ilvl="4">
      <w:start w:val="1"/>
      <w:numFmt w:val="bullet"/>
      <w:lvlText w:val="o"/>
      <w:lvlJc w:val="left"/>
      <w:pPr>
        <w:ind w:left="1800" w:firstLine="3240"/>
      </w:pPr>
      <w:rPr>
        <w:rFonts w:ascii="Arial" w:cs="Arial" w:eastAsia="Arial" w:hAnsi="Arial"/>
      </w:rPr>
    </w:lvl>
    <w:lvl w:ilvl="5">
      <w:start w:val="1"/>
      <w:numFmt w:val="bullet"/>
      <w:lvlText w:val="➢"/>
      <w:lvlJc w:val="left"/>
      <w:pPr>
        <w:ind w:left="2160" w:firstLine="3960"/>
      </w:pPr>
      <w:rPr>
        <w:rFonts w:ascii="Arial" w:cs="Arial" w:eastAsia="Arial" w:hAnsi="Arial"/>
      </w:rPr>
    </w:lvl>
    <w:lvl w:ilvl="6">
      <w:start w:val="1"/>
      <w:numFmt w:val="bullet"/>
      <w:lvlText w:val="▪"/>
      <w:lvlJc w:val="left"/>
      <w:pPr>
        <w:ind w:left="2520" w:firstLine="4680"/>
      </w:pPr>
      <w:rPr>
        <w:rFonts w:ascii="Arial" w:cs="Arial" w:eastAsia="Arial" w:hAnsi="Arial"/>
      </w:rPr>
    </w:lvl>
    <w:lvl w:ilvl="7">
      <w:start w:val="1"/>
      <w:numFmt w:val="bullet"/>
      <w:lvlText w:val="●"/>
      <w:lvlJc w:val="left"/>
      <w:pPr>
        <w:ind w:left="2880" w:firstLine="5400"/>
      </w:pPr>
      <w:rPr>
        <w:rFonts w:ascii="Arial" w:cs="Arial" w:eastAsia="Arial" w:hAnsi="Arial"/>
      </w:rPr>
    </w:lvl>
    <w:lvl w:ilvl="8">
      <w:start w:val="1"/>
      <w:numFmt w:val="bullet"/>
      <w:lvlText w:val="♦"/>
      <w:lvlJc w:val="left"/>
      <w:pPr>
        <w:ind w:left="3240" w:firstLine="6120"/>
      </w:pPr>
      <w:rPr>
        <w:rFonts w:ascii="Arial" w:cs="Arial" w:eastAsia="Arial" w:hAnsi="Arial"/>
      </w:rPr>
    </w:lvl>
  </w:abstractNum>
  <w:abstractNum w:abstractNumId="4">
    <w:lvl w:ilvl="0">
      <w:start w:val="1"/>
      <w:numFmt w:val="bullet"/>
      <w:lvlText w:val="❖"/>
      <w:lvlJc w:val="left"/>
      <w:pPr>
        <w:ind w:left="360" w:firstLine="360"/>
      </w:pPr>
      <w:rPr>
        <w:rFonts w:ascii="Arial" w:cs="Arial" w:eastAsia="Arial" w:hAnsi="Arial"/>
      </w:rPr>
    </w:lvl>
    <w:lvl w:ilvl="1">
      <w:start w:val="1"/>
      <w:numFmt w:val="bullet"/>
      <w:lvlText w:val="➢"/>
      <w:lvlJc w:val="left"/>
      <w:pPr>
        <w:ind w:left="720" w:firstLine="1080"/>
      </w:pPr>
      <w:rPr>
        <w:rFonts w:ascii="Arial" w:cs="Arial" w:eastAsia="Arial" w:hAnsi="Arial"/>
      </w:rPr>
    </w:lvl>
    <w:lvl w:ilvl="2">
      <w:start w:val="1"/>
      <w:numFmt w:val="bullet"/>
      <w:lvlText w:val="o"/>
      <w:lvlJc w:val="left"/>
      <w:pPr>
        <w:ind w:left="1080" w:firstLine="1800"/>
      </w:pPr>
      <w:rPr>
        <w:rFonts w:ascii="Arial" w:cs="Arial" w:eastAsia="Arial" w:hAnsi="Arial"/>
      </w:rPr>
    </w:lvl>
    <w:lvl w:ilvl="3">
      <w:start w:val="1"/>
      <w:numFmt w:val="bullet"/>
      <w:lvlText w:val="o"/>
      <w:lvlJc w:val="left"/>
      <w:pPr>
        <w:ind w:left="1440" w:firstLine="2520"/>
      </w:pPr>
      <w:rPr>
        <w:rFonts w:ascii="Arial" w:cs="Arial" w:eastAsia="Arial" w:hAnsi="Arial"/>
      </w:rPr>
    </w:lvl>
    <w:lvl w:ilvl="4">
      <w:start w:val="1"/>
      <w:numFmt w:val="bullet"/>
      <w:lvlText w:val="♦"/>
      <w:lvlJc w:val="left"/>
      <w:pPr>
        <w:ind w:left="1800" w:firstLine="3240"/>
      </w:pPr>
      <w:rPr>
        <w:rFonts w:ascii="Arial" w:cs="Arial" w:eastAsia="Arial" w:hAnsi="Arial"/>
      </w:rPr>
    </w:lvl>
    <w:lvl w:ilvl="5">
      <w:start w:val="1"/>
      <w:numFmt w:val="bullet"/>
      <w:lvlText w:val="•"/>
      <w:lvlJc w:val="left"/>
      <w:pPr>
        <w:ind w:left="2160" w:firstLine="3960"/>
      </w:pPr>
      <w:rPr>
        <w:rFonts w:ascii="Arial" w:cs="Arial" w:eastAsia="Arial" w:hAnsi="Arial"/>
      </w:rPr>
    </w:lvl>
    <w:lvl w:ilvl="6">
      <w:start w:val="1"/>
      <w:numFmt w:val="bullet"/>
      <w:lvlText w:val="▪"/>
      <w:lvlJc w:val="left"/>
      <w:pPr>
        <w:ind w:left="2520" w:firstLine="4680"/>
      </w:pPr>
      <w:rPr>
        <w:rFonts w:ascii="Arial" w:cs="Arial" w:eastAsia="Arial" w:hAnsi="Arial"/>
      </w:rPr>
    </w:lvl>
    <w:lvl w:ilvl="7">
      <w:start w:val="1"/>
      <w:numFmt w:val="bullet"/>
      <w:lvlText w:val="●"/>
      <w:lvlJc w:val="left"/>
      <w:pPr>
        <w:ind w:left="2880" w:firstLine="5400"/>
      </w:pPr>
      <w:rPr>
        <w:rFonts w:ascii="Arial" w:cs="Arial" w:eastAsia="Arial" w:hAnsi="Arial"/>
      </w:rPr>
    </w:lvl>
    <w:lvl w:ilvl="8">
      <w:start w:val="1"/>
      <w:numFmt w:val="bullet"/>
      <w:lvlText w:val="♦"/>
      <w:lvlJc w:val="left"/>
      <w:pPr>
        <w:ind w:left="3240" w:firstLine="6120"/>
      </w:pPr>
      <w:rPr>
        <w:rFonts w:ascii="Arial" w:cs="Arial" w:eastAsia="Arial" w:hAnsi="Arial"/>
      </w:rPr>
    </w:lvl>
  </w:abstractNum>
  <w:abstractNum w:abstractNumId="5">
    <w:lvl w:ilvl="0">
      <w:start w:val="1"/>
      <w:numFmt w:val="bullet"/>
      <w:lvlText w:val="❖"/>
      <w:lvlJc w:val="left"/>
      <w:pPr>
        <w:ind w:left="360" w:firstLine="360"/>
      </w:pPr>
      <w:rPr>
        <w:rFonts w:ascii="Arial" w:cs="Arial" w:eastAsia="Arial" w:hAnsi="Arial"/>
      </w:rPr>
    </w:lvl>
    <w:lvl w:ilvl="1">
      <w:start w:val="1"/>
      <w:numFmt w:val="bullet"/>
      <w:lvlText w:val="➢"/>
      <w:lvlJc w:val="left"/>
      <w:pPr>
        <w:ind w:left="720" w:firstLine="1080"/>
      </w:pPr>
      <w:rPr>
        <w:rFonts w:ascii="Arial" w:cs="Arial" w:eastAsia="Arial" w:hAnsi="Arial"/>
      </w:rPr>
    </w:lvl>
    <w:lvl w:ilvl="2">
      <w:start w:val="1"/>
      <w:numFmt w:val="bullet"/>
      <w:lvlText w:val="▪"/>
      <w:lvlJc w:val="left"/>
      <w:pPr>
        <w:ind w:left="1080" w:firstLine="1800"/>
      </w:pPr>
      <w:rPr>
        <w:rFonts w:ascii="Arial" w:cs="Arial" w:eastAsia="Arial" w:hAnsi="Arial"/>
      </w:rPr>
    </w:lvl>
    <w:lvl w:ilvl="3">
      <w:start w:val="1"/>
      <w:numFmt w:val="bullet"/>
      <w:lvlText w:val="●"/>
      <w:lvlJc w:val="left"/>
      <w:pPr>
        <w:ind w:left="1440" w:firstLine="2520"/>
      </w:pPr>
      <w:rPr>
        <w:rFonts w:ascii="Arial" w:cs="Arial" w:eastAsia="Arial" w:hAnsi="Arial"/>
      </w:rPr>
    </w:lvl>
    <w:lvl w:ilvl="4">
      <w:start w:val="1"/>
      <w:numFmt w:val="bullet"/>
      <w:lvlText w:val="o"/>
      <w:lvlJc w:val="left"/>
      <w:pPr>
        <w:ind w:left="1800" w:firstLine="3240"/>
      </w:pPr>
      <w:rPr>
        <w:rFonts w:ascii="Arial" w:cs="Arial" w:eastAsia="Arial" w:hAnsi="Arial"/>
      </w:rPr>
    </w:lvl>
    <w:lvl w:ilvl="5">
      <w:start w:val="1"/>
      <w:numFmt w:val="bullet"/>
      <w:lvlText w:val="o"/>
      <w:lvlJc w:val="left"/>
      <w:pPr>
        <w:ind w:left="2160" w:firstLine="3960"/>
      </w:pPr>
      <w:rPr>
        <w:rFonts w:ascii="Arial" w:cs="Arial" w:eastAsia="Arial" w:hAnsi="Arial"/>
      </w:rPr>
    </w:lvl>
    <w:lvl w:ilvl="6">
      <w:start w:val="1"/>
      <w:numFmt w:val="bullet"/>
      <w:lvlText w:val="▪"/>
      <w:lvlJc w:val="left"/>
      <w:pPr>
        <w:ind w:left="2520" w:firstLine="4680"/>
      </w:pPr>
      <w:rPr>
        <w:rFonts w:ascii="Arial" w:cs="Arial" w:eastAsia="Arial" w:hAnsi="Arial"/>
      </w:rPr>
    </w:lvl>
    <w:lvl w:ilvl="7">
      <w:start w:val="1"/>
      <w:numFmt w:val="bullet"/>
      <w:lvlText w:val="●"/>
      <w:lvlJc w:val="left"/>
      <w:pPr>
        <w:ind w:left="2880" w:firstLine="5400"/>
      </w:pPr>
      <w:rPr>
        <w:rFonts w:ascii="Arial" w:cs="Arial" w:eastAsia="Arial" w:hAnsi="Arial"/>
      </w:rPr>
    </w:lvl>
    <w:lvl w:ilvl="8">
      <w:start w:val="1"/>
      <w:numFmt w:val="bullet"/>
      <w:lvlText w:val="♦"/>
      <w:lvlJc w:val="left"/>
      <w:pPr>
        <w:ind w:left="3240" w:firstLine="6120"/>
      </w:pPr>
      <w:rPr>
        <w:rFonts w:ascii="Arial" w:cs="Arial" w:eastAsia="Arial" w:hAnsi="Arial"/>
      </w:rPr>
    </w:lvl>
  </w:abstractNum>
  <w:abstractNum w:abstractNumId="6">
    <w:lvl w:ilvl="0">
      <w:start w:val="1"/>
      <w:numFmt w:val="bullet"/>
      <w:lvlText w:val="❖"/>
      <w:lvlJc w:val="left"/>
      <w:pPr>
        <w:ind w:left="360" w:firstLine="360"/>
      </w:pPr>
      <w:rPr>
        <w:rFonts w:ascii="Arial" w:cs="Arial" w:eastAsia="Arial" w:hAnsi="Arial"/>
      </w:rPr>
    </w:lvl>
    <w:lvl w:ilvl="1">
      <w:start w:val="1"/>
      <w:numFmt w:val="bullet"/>
      <w:lvlText w:val="➢"/>
      <w:lvlJc w:val="left"/>
      <w:pPr>
        <w:ind w:left="720" w:firstLine="1080"/>
      </w:pPr>
      <w:rPr>
        <w:rFonts w:ascii="Arial" w:cs="Arial" w:eastAsia="Arial" w:hAnsi="Arial"/>
      </w:rPr>
    </w:lvl>
    <w:lvl w:ilvl="2">
      <w:start w:val="1"/>
      <w:numFmt w:val="bullet"/>
      <w:lvlText w:val="o"/>
      <w:lvlJc w:val="left"/>
      <w:pPr>
        <w:ind w:left="1080" w:firstLine="1800"/>
      </w:pPr>
      <w:rPr>
        <w:rFonts w:ascii="Arial" w:cs="Arial" w:eastAsia="Arial" w:hAnsi="Arial"/>
      </w:rPr>
    </w:lvl>
    <w:lvl w:ilvl="3">
      <w:start w:val="1"/>
      <w:numFmt w:val="bullet"/>
      <w:lvlText w:val="o"/>
      <w:lvlJc w:val="left"/>
      <w:pPr>
        <w:ind w:left="1440" w:firstLine="2520"/>
      </w:pPr>
      <w:rPr>
        <w:rFonts w:ascii="Arial" w:cs="Arial" w:eastAsia="Arial" w:hAnsi="Arial"/>
      </w:rPr>
    </w:lvl>
    <w:lvl w:ilvl="4">
      <w:start w:val="1"/>
      <w:numFmt w:val="bullet"/>
      <w:lvlText w:val="♦"/>
      <w:lvlJc w:val="left"/>
      <w:pPr>
        <w:ind w:left="1800" w:firstLine="3240"/>
      </w:pPr>
      <w:rPr>
        <w:rFonts w:ascii="Arial" w:cs="Arial" w:eastAsia="Arial" w:hAnsi="Arial"/>
      </w:rPr>
    </w:lvl>
    <w:lvl w:ilvl="5">
      <w:start w:val="1"/>
      <w:numFmt w:val="bullet"/>
      <w:lvlText w:val="•"/>
      <w:lvlJc w:val="left"/>
      <w:pPr>
        <w:ind w:left="2160" w:firstLine="3960"/>
      </w:pPr>
      <w:rPr>
        <w:rFonts w:ascii="Arial" w:cs="Arial" w:eastAsia="Arial" w:hAnsi="Arial"/>
      </w:rPr>
    </w:lvl>
    <w:lvl w:ilvl="6">
      <w:start w:val="1"/>
      <w:numFmt w:val="bullet"/>
      <w:lvlText w:val="▪"/>
      <w:lvlJc w:val="left"/>
      <w:pPr>
        <w:ind w:left="2520" w:firstLine="4680"/>
      </w:pPr>
      <w:rPr>
        <w:rFonts w:ascii="Arial" w:cs="Arial" w:eastAsia="Arial" w:hAnsi="Arial"/>
      </w:rPr>
    </w:lvl>
    <w:lvl w:ilvl="7">
      <w:start w:val="1"/>
      <w:numFmt w:val="bullet"/>
      <w:lvlText w:val="●"/>
      <w:lvlJc w:val="left"/>
      <w:pPr>
        <w:ind w:left="2880" w:firstLine="5400"/>
      </w:pPr>
      <w:rPr>
        <w:rFonts w:ascii="Arial" w:cs="Arial" w:eastAsia="Arial" w:hAnsi="Arial"/>
      </w:rPr>
    </w:lvl>
    <w:lvl w:ilvl="8">
      <w:start w:val="1"/>
      <w:numFmt w:val="bullet"/>
      <w:lvlText w:val="♦"/>
      <w:lvlJc w:val="left"/>
      <w:pPr>
        <w:ind w:left="3240" w:firstLine="6120"/>
      </w:pPr>
      <w:rPr>
        <w:rFonts w:ascii="Arial" w:cs="Arial" w:eastAsia="Arial" w:hAnsi="Arial"/>
      </w:rPr>
    </w:lvl>
  </w:abstractNum>
  <w:abstractNum w:abstractNumId="7">
    <w:lvl w:ilvl="0">
      <w:start w:val="1"/>
      <w:numFmt w:val="decimal"/>
      <w:lvlText w:val="%1."/>
      <w:lvlJc w:val="left"/>
      <w:pPr>
        <w:ind w:left="2160" w:firstLine="3960"/>
      </w:pPr>
      <w:rPr/>
    </w:lvl>
    <w:lvl w:ilvl="1">
      <w:start w:val="1"/>
      <w:numFmt w:val="lowerLetter"/>
      <w:lvlText w:val="%2."/>
      <w:lvlJc w:val="left"/>
      <w:pPr>
        <w:ind w:left="2880" w:firstLine="5400"/>
      </w:pPr>
      <w:rPr/>
    </w:lvl>
    <w:lvl w:ilvl="2">
      <w:start w:val="1"/>
      <w:numFmt w:val="lowerRoman"/>
      <w:lvlText w:val="%3."/>
      <w:lvlJc w:val="right"/>
      <w:pPr>
        <w:ind w:left="3600" w:firstLine="7020"/>
      </w:pPr>
      <w:rPr/>
    </w:lvl>
    <w:lvl w:ilvl="3">
      <w:start w:val="1"/>
      <w:numFmt w:val="decimal"/>
      <w:lvlText w:val="%4."/>
      <w:lvlJc w:val="left"/>
      <w:pPr>
        <w:ind w:left="4320" w:firstLine="8280"/>
      </w:pPr>
      <w:rPr/>
    </w:lvl>
    <w:lvl w:ilvl="4">
      <w:start w:val="1"/>
      <w:numFmt w:val="lowerLetter"/>
      <w:lvlText w:val="%5."/>
      <w:lvlJc w:val="left"/>
      <w:pPr>
        <w:ind w:left="5040" w:firstLine="9720"/>
      </w:pPr>
      <w:rPr/>
    </w:lvl>
    <w:lvl w:ilvl="5">
      <w:start w:val="1"/>
      <w:numFmt w:val="lowerRoman"/>
      <w:lvlText w:val="%6."/>
      <w:lvlJc w:val="right"/>
      <w:pPr>
        <w:ind w:left="5760" w:firstLine="11340"/>
      </w:pPr>
      <w:rPr/>
    </w:lvl>
    <w:lvl w:ilvl="6">
      <w:start w:val="1"/>
      <w:numFmt w:val="decimal"/>
      <w:lvlText w:val="%7."/>
      <w:lvlJc w:val="left"/>
      <w:pPr>
        <w:ind w:left="6480" w:firstLine="12600"/>
      </w:pPr>
      <w:rPr/>
    </w:lvl>
    <w:lvl w:ilvl="7">
      <w:start w:val="1"/>
      <w:numFmt w:val="lowerLetter"/>
      <w:lvlText w:val="%8."/>
      <w:lvlJc w:val="left"/>
      <w:pPr>
        <w:ind w:left="7200" w:firstLine="14040"/>
      </w:pPr>
      <w:rPr/>
    </w:lvl>
    <w:lvl w:ilvl="8">
      <w:start w:val="1"/>
      <w:numFmt w:val="lowerRoman"/>
      <w:lvlText w:val="%9."/>
      <w:lvlJc w:val="right"/>
      <w:pPr>
        <w:ind w:left="7920" w:firstLine="15660"/>
      </w:pPr>
      <w:rPr/>
    </w:lvl>
  </w:abstractNum>
  <w:abstractNum w:abstractNumId="8">
    <w:lvl w:ilvl="0">
      <w:start w:val="1"/>
      <w:numFmt w:val="bullet"/>
      <w:lvlText w:val="→"/>
      <w:lvlJc w:val="left"/>
      <w:pPr>
        <w:ind w:left="2880" w:firstLine="5400"/>
      </w:pPr>
      <w:rPr>
        <w:rFonts w:ascii="Arial" w:cs="Arial" w:eastAsia="Arial" w:hAnsi="Arial"/>
      </w:rPr>
    </w:lvl>
    <w:lvl w:ilvl="1">
      <w:start w:val="1"/>
      <w:numFmt w:val="bullet"/>
      <w:lvlText w:val="o"/>
      <w:lvlJc w:val="left"/>
      <w:pPr>
        <w:ind w:left="3600" w:firstLine="6840"/>
      </w:pPr>
      <w:rPr>
        <w:rFonts w:ascii="Arial" w:cs="Arial" w:eastAsia="Arial" w:hAnsi="Arial"/>
      </w:rPr>
    </w:lvl>
    <w:lvl w:ilvl="2">
      <w:start w:val="1"/>
      <w:numFmt w:val="bullet"/>
      <w:lvlText w:val="▪"/>
      <w:lvlJc w:val="left"/>
      <w:pPr>
        <w:ind w:left="4320" w:firstLine="8280"/>
      </w:pPr>
      <w:rPr>
        <w:rFonts w:ascii="Arial" w:cs="Arial" w:eastAsia="Arial" w:hAnsi="Arial"/>
      </w:rPr>
    </w:lvl>
    <w:lvl w:ilvl="3">
      <w:start w:val="1"/>
      <w:numFmt w:val="bullet"/>
      <w:lvlText w:val="●"/>
      <w:lvlJc w:val="left"/>
      <w:pPr>
        <w:ind w:left="5040" w:firstLine="9720"/>
      </w:pPr>
      <w:rPr>
        <w:rFonts w:ascii="Arial" w:cs="Arial" w:eastAsia="Arial" w:hAnsi="Arial"/>
      </w:rPr>
    </w:lvl>
    <w:lvl w:ilvl="4">
      <w:start w:val="1"/>
      <w:numFmt w:val="bullet"/>
      <w:lvlText w:val="o"/>
      <w:lvlJc w:val="left"/>
      <w:pPr>
        <w:ind w:left="5760" w:firstLine="11160"/>
      </w:pPr>
      <w:rPr>
        <w:rFonts w:ascii="Arial" w:cs="Arial" w:eastAsia="Arial" w:hAnsi="Arial"/>
      </w:rPr>
    </w:lvl>
    <w:lvl w:ilvl="5">
      <w:start w:val="1"/>
      <w:numFmt w:val="bullet"/>
      <w:lvlText w:val="▪"/>
      <w:lvlJc w:val="left"/>
      <w:pPr>
        <w:ind w:left="6480" w:firstLine="12600"/>
      </w:pPr>
      <w:rPr>
        <w:rFonts w:ascii="Arial" w:cs="Arial" w:eastAsia="Arial" w:hAnsi="Arial"/>
      </w:rPr>
    </w:lvl>
    <w:lvl w:ilvl="6">
      <w:start w:val="1"/>
      <w:numFmt w:val="bullet"/>
      <w:lvlText w:val="●"/>
      <w:lvlJc w:val="left"/>
      <w:pPr>
        <w:ind w:left="7200" w:firstLine="14040"/>
      </w:pPr>
      <w:rPr>
        <w:rFonts w:ascii="Arial" w:cs="Arial" w:eastAsia="Arial" w:hAnsi="Arial"/>
      </w:rPr>
    </w:lvl>
    <w:lvl w:ilvl="7">
      <w:start w:val="1"/>
      <w:numFmt w:val="bullet"/>
      <w:lvlText w:val="o"/>
      <w:lvlJc w:val="left"/>
      <w:pPr>
        <w:ind w:left="7920" w:firstLine="15480"/>
      </w:pPr>
      <w:rPr>
        <w:rFonts w:ascii="Arial" w:cs="Arial" w:eastAsia="Arial" w:hAnsi="Arial"/>
      </w:rPr>
    </w:lvl>
    <w:lvl w:ilvl="8">
      <w:start w:val="1"/>
      <w:numFmt w:val="bullet"/>
      <w:lvlText w:val="▪"/>
      <w:lvlJc w:val="left"/>
      <w:pPr>
        <w:ind w:left="8640" w:firstLine="16920"/>
      </w:pPr>
      <w:rPr>
        <w:rFonts w:ascii="Arial" w:cs="Arial" w:eastAsia="Arial" w:hAnsi="Arial"/>
      </w:rPr>
    </w:lvl>
  </w:abstractNum>
  <w:abstractNum w:abstractNumId="9">
    <w:lvl w:ilvl="0">
      <w:start w:val="1"/>
      <w:numFmt w:val="bullet"/>
      <w:lvlText w:val="o"/>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10">
    <w:lvl w:ilvl="0">
      <w:start w:val="1"/>
      <w:numFmt w:val="bullet"/>
      <w:lvlText w:val="▪"/>
      <w:lvlJc w:val="left"/>
      <w:pPr>
        <w:ind w:left="1800" w:firstLine="3240"/>
      </w:pPr>
      <w:rPr>
        <w:rFonts w:ascii="Arial" w:cs="Arial" w:eastAsia="Arial" w:hAnsi="Arial"/>
      </w:rPr>
    </w:lvl>
    <w:lvl w:ilvl="1">
      <w:start w:val="1"/>
      <w:numFmt w:val="bullet"/>
      <w:lvlText w:val="➢"/>
      <w:lvlJc w:val="left"/>
      <w:pPr>
        <w:ind w:left="2520" w:firstLine="4680"/>
      </w:pPr>
      <w:rPr>
        <w:rFonts w:ascii="Arial" w:cs="Arial" w:eastAsia="Arial" w:hAnsi="Arial"/>
      </w:rPr>
    </w:lvl>
    <w:lvl w:ilvl="2">
      <w:start w:val="1"/>
      <w:numFmt w:val="bullet"/>
      <w:lvlText w:val="▪"/>
      <w:lvlJc w:val="left"/>
      <w:pPr>
        <w:ind w:left="3240" w:firstLine="6120"/>
      </w:pPr>
      <w:rPr>
        <w:rFonts w:ascii="Arial" w:cs="Arial" w:eastAsia="Arial" w:hAnsi="Arial"/>
      </w:rPr>
    </w:lvl>
    <w:lvl w:ilvl="3">
      <w:start w:val="1"/>
      <w:numFmt w:val="bullet"/>
      <w:lvlText w:val="●"/>
      <w:lvlJc w:val="left"/>
      <w:pPr>
        <w:ind w:left="3960" w:firstLine="7560"/>
      </w:pPr>
      <w:rPr>
        <w:rFonts w:ascii="Arial" w:cs="Arial" w:eastAsia="Arial" w:hAnsi="Arial"/>
      </w:rPr>
    </w:lvl>
    <w:lvl w:ilvl="4">
      <w:start w:val="1"/>
      <w:numFmt w:val="bullet"/>
      <w:lvlText w:val="o"/>
      <w:lvlJc w:val="left"/>
      <w:pPr>
        <w:ind w:left="4680" w:firstLine="9000"/>
      </w:pPr>
      <w:rPr>
        <w:rFonts w:ascii="Arial" w:cs="Arial" w:eastAsia="Arial" w:hAnsi="Arial"/>
      </w:rPr>
    </w:lvl>
    <w:lvl w:ilvl="5">
      <w:start w:val="1"/>
      <w:numFmt w:val="bullet"/>
      <w:lvlText w:val="▪"/>
      <w:lvlJc w:val="left"/>
      <w:pPr>
        <w:ind w:left="5400" w:firstLine="10440"/>
      </w:pPr>
      <w:rPr>
        <w:rFonts w:ascii="Arial" w:cs="Arial" w:eastAsia="Arial" w:hAnsi="Arial"/>
      </w:rPr>
    </w:lvl>
    <w:lvl w:ilvl="6">
      <w:start w:val="1"/>
      <w:numFmt w:val="bullet"/>
      <w:lvlText w:val="●"/>
      <w:lvlJc w:val="left"/>
      <w:pPr>
        <w:ind w:left="6120" w:firstLine="11880"/>
      </w:pPr>
      <w:rPr>
        <w:rFonts w:ascii="Arial" w:cs="Arial" w:eastAsia="Arial" w:hAnsi="Arial"/>
      </w:rPr>
    </w:lvl>
    <w:lvl w:ilvl="7">
      <w:start w:val="1"/>
      <w:numFmt w:val="bullet"/>
      <w:lvlText w:val="o"/>
      <w:lvlJc w:val="left"/>
      <w:pPr>
        <w:ind w:left="6840" w:firstLine="13320"/>
      </w:pPr>
      <w:rPr>
        <w:rFonts w:ascii="Arial" w:cs="Arial" w:eastAsia="Arial" w:hAnsi="Arial"/>
      </w:rPr>
    </w:lvl>
    <w:lvl w:ilvl="8">
      <w:start w:val="1"/>
      <w:numFmt w:val="bullet"/>
      <w:lvlText w:val="▪"/>
      <w:lvlJc w:val="left"/>
      <w:pPr>
        <w:ind w:left="7560" w:firstLine="14760"/>
      </w:pPr>
      <w:rPr>
        <w:rFonts w:ascii="Arial" w:cs="Arial" w:eastAsia="Arial" w:hAnsi="Arial"/>
      </w:rPr>
    </w:lvl>
  </w:abstractNum>
  <w:abstractNum w:abstractNumId="11">
    <w:lvl w:ilvl="0">
      <w:start w:val="1"/>
      <w:numFmt w:val="bullet"/>
      <w:lvlText w:val="→"/>
      <w:lvlJc w:val="left"/>
      <w:pPr>
        <w:ind w:left="1440" w:firstLine="2520"/>
      </w:pPr>
      <w:rPr>
        <w:rFonts w:ascii="Arial" w:cs="Arial" w:eastAsia="Arial" w:hAnsi="Arial"/>
      </w:rPr>
    </w:lvl>
    <w:lvl w:ilvl="1">
      <w:start w:val="1"/>
      <w:numFmt w:val="bullet"/>
      <w:lvlText w:val="➢"/>
      <w:lvlJc w:val="left"/>
      <w:pPr>
        <w:ind w:left="2160" w:firstLine="3960"/>
      </w:pPr>
      <w:rPr>
        <w:rFonts w:ascii="Arial" w:cs="Arial" w:eastAsia="Arial" w:hAnsi="Arial"/>
      </w:rPr>
    </w:lvl>
    <w:lvl w:ilvl="2">
      <w:start w:val="1"/>
      <w:numFmt w:val="bullet"/>
      <w:lvlText w:val="▪"/>
      <w:lvlJc w:val="left"/>
      <w:pPr>
        <w:ind w:left="2880" w:firstLine="5400"/>
      </w:pPr>
      <w:rPr>
        <w:rFonts w:ascii="Arial" w:cs="Arial" w:eastAsia="Arial" w:hAnsi="Arial"/>
      </w:rPr>
    </w:lvl>
    <w:lvl w:ilvl="3">
      <w:start w:val="1"/>
      <w:numFmt w:val="bullet"/>
      <w:lvlText w:val="●"/>
      <w:lvlJc w:val="left"/>
      <w:pPr>
        <w:ind w:left="3600" w:firstLine="6840"/>
      </w:pPr>
      <w:rPr>
        <w:rFonts w:ascii="Arial" w:cs="Arial" w:eastAsia="Arial" w:hAnsi="Arial"/>
      </w:rPr>
    </w:lvl>
    <w:lvl w:ilvl="4">
      <w:start w:val="1"/>
      <w:numFmt w:val="bullet"/>
      <w:lvlText w:val="o"/>
      <w:lvlJc w:val="left"/>
      <w:pPr>
        <w:ind w:left="4320" w:firstLine="8280"/>
      </w:pPr>
      <w:rPr>
        <w:rFonts w:ascii="Arial" w:cs="Arial" w:eastAsia="Arial" w:hAnsi="Arial"/>
      </w:rPr>
    </w:lvl>
    <w:lvl w:ilvl="5">
      <w:start w:val="1"/>
      <w:numFmt w:val="bullet"/>
      <w:lvlText w:val="▪"/>
      <w:lvlJc w:val="left"/>
      <w:pPr>
        <w:ind w:left="5040" w:firstLine="9720"/>
      </w:pPr>
      <w:rPr>
        <w:rFonts w:ascii="Arial" w:cs="Arial" w:eastAsia="Arial" w:hAnsi="Arial"/>
      </w:rPr>
    </w:lvl>
    <w:lvl w:ilvl="6">
      <w:start w:val="1"/>
      <w:numFmt w:val="bullet"/>
      <w:lvlText w:val="●"/>
      <w:lvlJc w:val="left"/>
      <w:pPr>
        <w:ind w:left="5760" w:firstLine="11160"/>
      </w:pPr>
      <w:rPr>
        <w:rFonts w:ascii="Arial" w:cs="Arial" w:eastAsia="Arial" w:hAnsi="Arial"/>
      </w:rPr>
    </w:lvl>
    <w:lvl w:ilvl="7">
      <w:start w:val="1"/>
      <w:numFmt w:val="bullet"/>
      <w:lvlText w:val="o"/>
      <w:lvlJc w:val="left"/>
      <w:pPr>
        <w:ind w:left="6480" w:firstLine="12600"/>
      </w:pPr>
      <w:rPr>
        <w:rFonts w:ascii="Arial" w:cs="Arial" w:eastAsia="Arial" w:hAnsi="Arial"/>
      </w:rPr>
    </w:lvl>
    <w:lvl w:ilvl="8">
      <w:start w:val="1"/>
      <w:numFmt w:val="bullet"/>
      <w:lvlText w:val="▪"/>
      <w:lvlJc w:val="left"/>
      <w:pPr>
        <w:ind w:left="7200" w:firstLine="140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