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200" w:before="10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200" w:before="100" w:line="276"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2"/>
        <w:bidi w:val="0"/>
        <w:tblW w:w="10223.0" w:type="dxa"/>
        <w:jc w:val="left"/>
        <w:tblLayout w:type="fixed"/>
        <w:tblLook w:val="0600"/>
      </w:tblPr>
      <w:tblGrid>
        <w:gridCol w:w="5504"/>
        <w:gridCol w:w="4719"/>
        <w:tblGridChange w:id="0">
          <w:tblGrid>
            <w:gridCol w:w="5504"/>
            <w:gridCol w:w="4719"/>
          </w:tblGrid>
        </w:tblGridChange>
      </w:tblGrid>
      <w:tr>
        <w:trPr>
          <w:trHeight w:val="1340" w:hRule="atLeast"/>
        </w:trP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March 2007 to March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3"/>
        <w:bidi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4"/>
        <w:bidi w:val="0"/>
        <w:tblW w:w="10223.0" w:type="dxa"/>
        <w:jc w:val="left"/>
        <w:tblInd w:w="-20.0" w:type="dxa"/>
        <w:tblLayout w:type="fixed"/>
        <w:tblLook w:val="0600"/>
      </w:tblPr>
      <w:tblGrid>
        <w:gridCol w:w="4907"/>
        <w:gridCol w:w="5316"/>
        <w:tblGridChange w:id="0">
          <w:tblGrid>
            <w:gridCol w:w="4907"/>
            <w:gridCol w:w="5316"/>
          </w:tblGrid>
        </w:tblGridChange>
      </w:tblGrid>
      <w:tr>
        <w:tc>
          <w:tcPr>
            <w:tcMar>
              <w:left w:w="10.0" w:type="dxa"/>
              <w:right w:w="1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tc>
        <w:tc>
          <w:tcPr>
            <w:tcMar>
              <w:left w:w="10.0" w:type="dxa"/>
              <w:right w:w="1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5"/>
        <w:bidi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758"/>
        <w:gridCol w:w="3258"/>
        <w:tblGridChange w:id="0">
          <w:tblGrid>
            <w:gridCol w:w="7758"/>
            <w:gridCol w:w="3258"/>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6"/>
        <w:bidi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7"/>
        <w:bidi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72"/>
        <w:gridCol w:w="3672"/>
        <w:gridCol w:w="3672"/>
        <w:tblGridChange w:id="0">
          <w:tblGrid>
            <w:gridCol w:w="3672"/>
            <w:gridCol w:w="3672"/>
            <w:gridCol w:w="3672"/>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footerReference r:id="rId2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76"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