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115.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0" w:line="360" w:lineRule="auto"/>
        <w:contextualSpacing w:val="0"/>
        <w:jc w:val="both"/>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b w:val="0"/>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b w:val="0"/>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b w:val="0"/>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b w:val="0"/>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b w:val="0"/>
          <w:sz w:val="20"/>
          <w:szCs w:val="20"/>
          <w:rtl w:val="0"/>
        </w:rPr>
        <w:t xml:space="preserve"> and improve complex process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b w:val="0"/>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b w:val="0"/>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b w:val="0"/>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b w:val="0"/>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b w:val="0"/>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b w:val="0"/>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b w:val="0"/>
          <w:sz w:val="20"/>
          <w:szCs w:val="20"/>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Taught goal setting workshops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Webmaster of 35 page site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9360.0" w:type="dxa"/>
        <w:jc w:val="left"/>
        <w:tblInd w:w="-115.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9360.0" w:type="dxa"/>
        <w:jc w:val="left"/>
        <w:tblInd w:w="-115.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b w:val="0"/>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b w:val="0"/>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b w:val="0"/>
                <w:sz w:val="20"/>
                <w:szCs w:val="20"/>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9360.0" w:type="dxa"/>
        <w:jc w:val="left"/>
        <w:tblInd w:w="-1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9360.0" w:type="dxa"/>
        <w:jc w:val="left"/>
        <w:tblInd w:w="-115.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9360.0" w:type="dxa"/>
        <w:jc w:val="left"/>
        <w:tblInd w:w="-115.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76" w:lineRule="auto"/>
              <w:contextualSpacing w:val="0"/>
              <w:jc w:val="cente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