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540"/>
                              <w:jc w:val="left"/>
                              <w:textDirection w:val="btLr"/>
                            </w:pP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
              <a:graphic>
                <a:graphicData uri="http://schemas.microsoft.com/office/word/2010/wordprocessingShape">
                  <wps:wsp>
                    <wps:cNvSpPr/>
                    <wps:cNvPr id="2" name="Shape 2"/>
                    <wps:spPr>
                      <a:xfrm>
                        <a:off x="1456942" y="3356138"/>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
              <a:graphic>
                <a:graphicData uri="http://schemas.microsoft.com/office/word/2010/wordprocessingShape">
                  <wps:wsp>
                    <wps:cNvSpPr/>
                    <wps:cNvPr id="4" name="Shape 4"/>
                    <wps:spPr>
                      <a:xfrm>
                        <a:off x="2216402" y="3465675"/>
                        <a:ext cx="6259195" cy="6286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5.png"/></Relationships>
</file>