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drawing>
          <wp:inline distB="19050" distT="19050" distL="19050" distR="19050">
            <wp:extent cx="5918200" cy="763903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18200" cy="76390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795.2"/>
        <w:contextualSpacing w:val="0"/>
        <w:jc w:val="left"/>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 Darby 907-746-5978 Home 907-707-5654 Mobile www.sue-a-darby.com sue@sue-a-darby.com @suedarby Linkedin/suedarby 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312"/>
        <w:contextualSpacing w:val="0"/>
        <w:jc w:val="left"/>
        <w:rPr/>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SharePoint development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Clout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(Full-Time) 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Admin Clerk II May 2008-Nov 2011 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Career Development Mentor &amp; Computer Instructor Apr 2006-Apr 2008 Sue’s Tiny Costumes, Alaska Office Specialists, Books, Music &amp; More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 Oct 1995-Present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 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 Certificate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 MS Office Master Certification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Continuing Education Subjects (Complete and in progress) Technical Writing, Project Management, Statistics, Research Methodology, Telecommunications, Advanced Web Development, Visual Basic.NET, Business Law, Contract Management, Human Resources, Operations Management, Perl, Marketing, , Java, HTML 5, CSS, JavaScript, PHP, MYSQL, Web design, Game Development with Unity and C#, A+ Certification Training COGNOS, HIPAA Security 201, Archiving Basics, Introduction to Share Point with Lab, Introduction to Supervisor Training, Basic Care Coordination Training for QA, Introduction to Office 2007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