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Technical Writer </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spacing w:before="240" w:line="360" w:lineRule="auto"/>
        <w:contextualSpacing w:val="0"/>
        <w:jc w:val="center"/>
        <w:rPr>
          <w:rFonts w:ascii="Times New Roman" w:cs="Times New Roman" w:eastAsia="Times New Roman" w:hAnsi="Times New Roman"/>
        </w:rPr>
      </w:pPr>
      <w:bookmarkStart w:colFirst="0" w:colLast="0" w:name="_gjdgxs" w:id="0"/>
      <w:bookmarkEnd w:id="0"/>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25920" w:w="158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