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7B6"/>
                            </a:gs>
                            <a:gs pos="20000">
                              <a:srgbClr val="3C7BC7"/>
                            </a:gs>
                            <a:gs pos="100000">
                              <a:srgbClr val="254163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27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 and Open Source options.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databases, and SQL databases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127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6942" y="3356137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477B6"/>
                          </a:gs>
                          <a:gs pos="20000">
                            <a:srgbClr val="3C7BC7"/>
                          </a:gs>
                          <a:gs pos="100000">
                            <a:srgbClr val="254163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12700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16402" y="3465675"/>
                        <a:ext cx="6259194" cy="628649"/>
                      </a:xfrm>
                      <a:custGeom>
                        <a:pathLst>
                          <a:path extrusionOk="0" h="628650" w="6259195">
                            <a:moveTo>
                              <a:pt x="0" y="0"/>
                            </a:moveTo>
                            <a:lnTo>
                              <a:pt x="0" y="628650"/>
                            </a:lnTo>
                            <a:lnTo>
                              <a:pt x="6259195" y="628650"/>
                            </a:lnTo>
                            <a:lnTo>
                              <a:pt x="62591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Home907-746-5978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12700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45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