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9360.0" w:type="dxa"/>
        <w:jc w:val="left"/>
        <w:tblInd w:w="-230.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keepNext w:val="0"/>
        <w:keepLines w:val="0"/>
        <w:widowControl w:val="1"/>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tblW w:w="9360.0" w:type="dxa"/>
        <w:jc w:val="left"/>
        <w:tblInd w:w="-230.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tblW w:w="9360.0" w:type="dxa"/>
        <w:jc w:val="left"/>
        <w:tblInd w:w="-230.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spacing w:after="86" w:before="115"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tblW w:w="9360.0" w:type="dxa"/>
        <w:jc w:val="left"/>
        <w:tblInd w:w="-230.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tblW w:w="946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tblW w:w="9360.0" w:type="dxa"/>
        <w:jc w:val="left"/>
        <w:tblInd w:w="-230.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hyperlink r:id="rId9">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tblW w:w="955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76" w:lineRule="auto"/>
              <w:ind w:left="0" w:right="0" w:firstLine="0"/>
              <w:contextualSpacing w:val="0"/>
              <w:jc w:val="center"/>
              <w:rPr/>
            </w:pPr>
            <w:hyperlink r:id="rId16">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