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2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110"/>
        <w:tblGridChange w:id="0">
          <w:tblGrid>
            <w:gridCol w:w="3060"/>
            <w:gridCol w:w="711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sz w:val="18"/>
                <w:szCs w:val="18"/>
                <w:highlight w:val="white"/>
                <w:rtl w:val="0"/>
              </w:rPr>
              <w:t xml:space="preserve">907-746-5978 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33333"/>
                <w:sz w:val="18"/>
                <w:szCs w:val="18"/>
                <w:highlight w:val="white"/>
                <w:rtl w:val="0"/>
              </w:rPr>
              <w:t xml:space="preserve">907--355-3750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1"/>
              <w:contextualSpacing w:val="0"/>
              <w:jc w:val="right"/>
              <w:rPr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sz w:val="14"/>
                  <w:szCs w:val="14"/>
                  <w:u w:val="singl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1"/>
              <w:contextualSpacing w:val="0"/>
              <w:jc w:val="right"/>
              <w:rPr/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sz w:val="14"/>
                  <w:szCs w:val="14"/>
                  <w:u w:val="singl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Application tracking system &amp; CPR Waiver Tracking system as SharePoint Administrator – design, develop and provide solutions to track information the main database is not programmed to track as business needs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Database modification project plan for Habilitation Homes provider management – provides options to view the connections between parent and child records that was not originally part of the system. Analysis of needs and options for solutions developed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Policy and procedure development and maintenance – consistent development of illustrated procedures for common office activities such as data entry and higher level functions such as application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Website design, content development and social media marketing for 9 sites over a period of 20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Technical writing for Pattern Drafting books, 100 published patterns and numerous tutorials – published in the Library of Congress, 4 magazines as well as on business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Electronic document management – develop folder system, train colleagues and maintain system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Data management and database cleanup – regularly review reports and correct data in main database in preparation for data conversion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Wikipedia author (Mark Bolzern) – write and develop Wikipedia page for iA3 founder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360" w:hanging="360"/>
        <w:contextualSpacing w:val="1"/>
        <w:jc w:val="left"/>
        <w:rPr>
          <w:b w:val="0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Process diagramming based on descriptions provided by SME or as directed by management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tblW w:w="10188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18"/>
        <w:gridCol w:w="2250"/>
        <w:gridCol w:w="2520"/>
        <w:gridCol w:w="2700"/>
        <w:tblGridChange w:id="0">
          <w:tblGrid>
            <w:gridCol w:w="2718"/>
            <w:gridCol w:w="2250"/>
            <w:gridCol w:w="2520"/>
            <w:gridCol w:w="270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Technical 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Business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Data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Human 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Business Process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Project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Software 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Writing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Process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Project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Strategic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SharePoint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Web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WordPress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Content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Editing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Time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Team 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Dreamweaver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Troubleshooting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Team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Event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Social Media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Star UML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tabs>
                <w:tab w:val="left" w:pos="55"/>
              </w:tabs>
              <w:spacing w:after="0" w:before="0" w:line="240" w:lineRule="auto"/>
              <w:ind w:left="270" w:hanging="180"/>
              <w:contextualSpacing w:val="1"/>
              <w:jc w:val="left"/>
              <w:rPr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Master Level MS Office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iA3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Technical Writer &amp; Webmaster - 10/2015-Present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State of Alaska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Senior Services Technician - 2/2014-Present and Office Assistant I &amp; II 5/2008-2/2014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Nine Star Education &amp; Employment Services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Career Development Mentor &amp; Computer Instructor - 4/2006-4/2008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Sue’s Tiny Costumes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Owner, Author, Webmaster -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9/1996-Present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Alaska Office Specialists, Books, Music &amp; More, Coffee Institute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Webmaster - 2008-Present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Craft Pattern Emporium –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Webmaster - 2014-Present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24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Charter College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8"/>
          <w:szCs w:val="18"/>
          <w:rtl w:val="0"/>
        </w:rPr>
        <w:t xml:space="preserve">– Dean’s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rtl w:val="0"/>
        </w:rPr>
        <w:t xml:space="preserve"> List,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Bachelors of Science Degree - 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Bachelors of Science Degree - Business Management and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Associate of Applied Science Degree - 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60" w:before="60" w:line="240" w:lineRule="auto"/>
        <w:ind w:left="36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color w:val="000000"/>
          <w:sz w:val="18"/>
          <w:szCs w:val="18"/>
          <w:highlight w:val="white"/>
          <w:rtl w:val="0"/>
        </w:rPr>
        <w:t xml:space="preserve">Associate of Applied Science Degree - Business Management Practice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SimSu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/Relationships>
</file>