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mazone BT" w:cs="Amazone BT" w:eastAsia="Amazone BT" w:hAnsi="Amazone BT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