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 </w:t>
        <w:tab/>
        <w:tab/>
        <w:tab/>
        <w:tab/>
        <w:tab/>
        <w:tab/>
      </w:r>
      <w:hyperlink r:id="rId5">
        <w:r w:rsidDel="00000000" w:rsidR="00000000" w:rsidRPr="00000000">
          <w:rPr>
            <w:rFonts w:ascii="Times New Roman" w:cs="Times New Roman" w:eastAsia="Times New Roman" w:hAnsi="Times New Roman"/>
            <w:color w:val="1155cc"/>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tab/>
        <w:tab/>
        <w:tab/>
        <w:tab/>
        <w:tab/>
        <w:tab/>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 </w:t>
        <w:tab/>
        <w:tab/>
        <w:tab/>
        <w:tab/>
        <w:tab/>
        <w:tab/>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https://www.linkedin.com/in/suedarby</w:t>
        </w:r>
      </w:hyperlink>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Learnable and UDemy Online</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drawing>
        <wp:inline distB="0" distT="0" distL="114300" distR="114300">
          <wp:extent cx="5473700" cy="508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