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numPr>
          <w:ilvl w:val="0"/>
          <w:numId w:val="1"/>
        </w:numPr>
        <w:spacing w:after="0" w:before="10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Works well with youth and adults of any age;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I have worked with individuals from every socioeconomic background and age group from parents of pre-schoolers and pre-school children to native elders, public assistance recipients, and former inmates re-entering society.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Has the ability and skill to interview and obtain factual information from individuals regarding highly personal, sensitive or confidential information.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While working with individuals seeking employment I interviewed not only for background barriers but for skills and abilities that would assist them in obtaining long term employment. All data obtained was under strict HIPAA and PIPA laws, rules and regulations.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Can analyze complex issues and situations, and propose viable solutions and courses of action;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My best project has been the process of making the Habilitation Homes in SDS’s DS3 database more visible. Previously the recipient workers and the provider certification workers could not tell who lives at which Residential Habilitation home. By looking at the connections, the current system can do and working with the Research &amp; Analysis team, I was able to help determine how the database could be modified for this new set of data. When all the data is in place, the database will be streamlined. Clients will be connected to the homes they live in and certification and quality assurance will be able to tell which homes are contracted to which certified providers, allowing for complaints and site reviews to become a more common occurrence and overall improve life for the individuals served in the homes. The data entry and analysis of the few homes in the system requires detailed knowledge of the types of habilitation services and a complex process of database connections and merging of records.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Can make group presentations and lead discussion groups, workshops or seminars related to communicable disease and transmission.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While I have never presented on communicable disease or transmission I have presented many times on computer use, work search, and data archiving.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Can analyze data, facts, of information, and draw logical conclusions, and present information effectively, both orally and in writing;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Has the ability to use Microsoft Outlook, Word, Excel and PowerPoint.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1440" w:right="0" w:hanging="360"/>
        <w:contextualSpacing w:val="1"/>
        <w:jc w:val="left"/>
        <w:rPr/>
      </w:pPr>
      <w:r w:rsidDel="00000000" w:rsidR="00000000" w:rsidRPr="00000000">
        <w:rPr>
          <w:rFonts w:ascii="Arial" w:cs="Arial" w:eastAsia="Arial" w:hAnsi="Arial"/>
          <w:b w:val="0"/>
          <w:i w:val="0"/>
          <w:smallCaps w:val="0"/>
          <w:strike w:val="0"/>
          <w:color w:val="666666"/>
          <w:sz w:val="24"/>
          <w:szCs w:val="24"/>
          <w:u w:val="none"/>
          <w:vertAlign w:val="baseline"/>
          <w:rtl w:val="0"/>
        </w:rPr>
        <w:t xml:space="preserve">I earned a Master Certification in MS Office 2003 and have since upgraded my skill sets to include Office 2007 and Office 2010. I can setup complex tables and graphs for data analysis in Excel. I was responsible for the original system creation, documenting, tracking and generation of statistics for the Commissioner’s Dashboard in 2009 for the Critical Incident Reports.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Arial" w:cs="Arial" w:eastAsia="Arial" w:hAnsi="Arial"/>
      <w:b w:val="1"/>
      <w:i w:val="0"/>
      <w:smallCaps w:val="0"/>
      <w:strike w:val="0"/>
      <w:color w:val="365f91"/>
      <w:sz w:val="28"/>
      <w:szCs w:val="2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