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6600"/>
                <w:sz w:val="28"/>
                <w:szCs w:val="28"/>
                <w:u w:val="none"/>
                <w:vertAlign w:val="baseline"/>
                <w:rtl w:val="0"/>
              </w:rPr>
              <w:t xml:space="preserve">The Department of Health and Social Services, Division of Senior and Disabilities Services is recruiting for a Medical Assistance Administrator 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Medical Assistance Administrator I position serves as a key contact for certification processes with current and prospective Medicaid and Home and Community Based Waiver providers. </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position reviews applications to determine compliance with standards for provider certification and approves or denies applications. </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position provides initial and on-going monitoring of provider compliance with certification requirements, providing technical assistance as needed and refers inappropriate service provisions and/or non-compliance with Federal and State laws and regulations to the appropriate partner entities.</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1"/>
                <w:i w:val="0"/>
                <w:smallCaps w:val="0"/>
                <w:strike w:val="0"/>
                <w:color w:val="000080"/>
                <w:sz w:val="28"/>
                <w:szCs w:val="28"/>
                <w:u w:val="none"/>
                <w:vertAlign w:val="baseline"/>
                <w:rtl w:val="0"/>
              </w:rPr>
              <w:br w:type="textWrapping"/>
              <w:t xml:space="preserve">This position will be responsible for: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Evaluation of Medicaid Provider Certification Applications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Communication and technical assistance with providers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Provider Database maintenance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Referring compliance and quality issues to the appropriate entities for remediation and/or corrective action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Participation in continuous quality improvement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Coordination with other State entities when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Support the denial of applications throughout the appeals process when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Other duties as assigned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80"/>
                <w:sz w:val="28"/>
                <w:szCs w:val="28"/>
                <w:u w:val="none"/>
                <w:vertAlign w:val="baseline"/>
                <w:rtl w:val="0"/>
              </w:rPr>
              <w:t xml:space="preserve">The ideal candidate will possess the following Knowledge, Abilities, and Experience. Please document these qualities in your applicant cover letter.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Experience with and/or a close familiarity with Medicaid and Waiver programs and systems, or similar health care services and delivery systems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Demonstrated ability to analyze data, facts or other information, draw logical evidence-based conclusions, and organize and present the information effectively.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Experience working with databases, filing systems and other quality assurance processes or systems.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Experience providing technical assistance and/or education with a sound ability to communicate effectively with a variety of stakeholders, both verbally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Some knowledge and/or familiarity with State of AK regulations, policies and terminology related to Medicaid and Home and Community Based Waiver programs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Ability to adapt to a rapidly changing work environment with professionalism and positivity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60"/>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Ability to handle routine assignments and a high volume workload with little supervision.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e6e6e6"/>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 Minimum Qualifications:</w:t>
            </w:r>
            <w:r w:rsidDel="00000000" w:rsidR="00000000" w:rsidRPr="00000000">
              <w:rPr>
                <w:rtl w:val="0"/>
              </w:rPr>
            </w:r>
          </w:p>
        </w:tc>
      </w:tr>
      <w:tr>
        <w:tc>
          <w:tcPr>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Bachelor's degree or the equivalent from an accredited college in public health, health sciences, health education, nursing, medical social work, health services administration, public administration, business administration or a closely related field.</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1"/>
                <w:i w:val="0"/>
                <w:smallCaps w:val="0"/>
                <w:strike w:val="0"/>
                <w:color w:val="000000"/>
                <w:sz w:val="28"/>
                <w:szCs w:val="28"/>
                <w:u w:val="none"/>
                <w:vertAlign w:val="baseline"/>
                <w:rtl w:val="0"/>
              </w:rPr>
              <w:t xml:space="preserve">AND</w:t>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Two years of technical/paraprofessional level experience working with health care practices, services, delivery systems, terminology, financing, business practices and operations; or medical/public assistance programs and eligibility requirements; or health care claims evaluation and processing.</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8"/>
                <w:szCs w:val="28"/>
                <w:u w:val="none"/>
                <w:vertAlign w:val="baseline"/>
                <w:rtl w:val="0"/>
              </w:rPr>
              <w:t xml:space="preserve">Substitution: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Additional technical/paraprofessional experience working with health care practices, services, delivery systems, terminology, financing, business practices and operations; or medical/public assistance program and eligibility requirements; or health care evaluation and processing may substitute for the education on a year-for-year basis.</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8"/>
                <w:szCs w:val="28"/>
                <w:u w:val="none"/>
                <w:vertAlign w:val="baseline"/>
                <w:rtl w:val="0"/>
              </w:rPr>
              <w:t xml:space="preserve">Special Note:</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Qualifying experience at each level in this series which would provide the needed knowledge of health care and medical assistance services, programs, delivery systems and/or business practices, terminology, operations, financing, etc. may be gained in a variety of situations under numerous working titles. </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Examples of such work experience would include any health care professional; health insurance claims processing supervisor or investigator; health educator, researcher or planner; and positions which determine and interpret health insurance policy coverage. Within the State of Alaska, job classes to consider would include Eligibility Technician II, Eligibility Quality Control Technician I, Public Assistance Analyst I, Health Program Associate, Health Program Manager I or Health and Social Services Planner I.</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Some positions may require specialized training and background, such as a Registered Nurse.</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