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1"/>
        <w:bidi w:val="0"/>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6600"/>
                <w:sz w:val="28"/>
                <w:szCs w:val="28"/>
                <w:u w:val="none"/>
                <w:vertAlign w:val="baseline"/>
                <w:rtl w:val="0"/>
              </w:rPr>
              <w:t xml:space="preserve">The Department of Health and Social Services, Division of Senior and Disabilities Services is recruiting for a Medical Assistance Administrator I.</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The Medical Assistance Administrator I position serves as a key contact for certification processes with current and prospective Medicaid and Home and Community Based Waiver providers. </w:t>
            </w:r>
            <w:r w:rsidDel="00000000" w:rsidR="00000000" w:rsidRPr="00000000">
              <w:rPr>
                <w:rFonts w:ascii="Arial" w:cs="Arial" w:eastAsia="Arial" w:hAnsi="Arial"/>
                <w:b w:val="0"/>
                <w:i w:val="0"/>
                <w:smallCaps w:val="0"/>
                <w:strike w:val="0"/>
                <w:color w:val="000000"/>
                <w:sz w:val="28"/>
                <w:szCs w:val="28"/>
                <w:u w:val="none"/>
                <w:vertAlign w:val="baseline"/>
                <w:rtl w:val="0"/>
              </w:rPr>
              <w:br w:type="textWrapping"/>
              <w:br w:type="textWrapping"/>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This position reviews applications to determine compliance with standards for provider certification and approves or denies applications. </w:t>
            </w:r>
            <w:r w:rsidDel="00000000" w:rsidR="00000000" w:rsidRPr="00000000">
              <w:rPr>
                <w:rFonts w:ascii="Arial" w:cs="Arial" w:eastAsia="Arial" w:hAnsi="Arial"/>
                <w:b w:val="0"/>
                <w:i w:val="0"/>
                <w:smallCaps w:val="0"/>
                <w:strike w:val="0"/>
                <w:color w:val="000000"/>
                <w:sz w:val="28"/>
                <w:szCs w:val="28"/>
                <w:u w:val="none"/>
                <w:vertAlign w:val="baseline"/>
                <w:rtl w:val="0"/>
              </w:rPr>
              <w:br w:type="textWrapping"/>
              <w:br w:type="textWrapping"/>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This position provides initial and on-going monitoring of provider compliance with certification requirements, providing technical assistance as needed and refers inappropriate service provisions and/or non-compliance with Federal and State laws and regulations to the appropriate partner entities.</w:t>
            </w:r>
            <w:r w:rsidDel="00000000" w:rsidR="00000000" w:rsidRPr="00000000">
              <w:rPr>
                <w:rFonts w:ascii="Arial" w:cs="Arial" w:eastAsia="Arial" w:hAnsi="Arial"/>
                <w:b w:val="0"/>
                <w:i w:val="0"/>
                <w:smallCaps w:val="0"/>
                <w:strike w:val="0"/>
                <w:color w:val="000000"/>
                <w:sz w:val="28"/>
                <w:szCs w:val="28"/>
                <w:u w:val="none"/>
                <w:vertAlign w:val="baseline"/>
                <w:rtl w:val="0"/>
              </w:rPr>
              <w:br w:type="textWrapping"/>
            </w:r>
            <w:r w:rsidDel="00000000" w:rsidR="00000000" w:rsidRPr="00000000">
              <w:rPr>
                <w:rFonts w:ascii="Arial" w:cs="Arial" w:eastAsia="Arial" w:hAnsi="Arial"/>
                <w:b w:val="1"/>
                <w:i w:val="0"/>
                <w:smallCaps w:val="0"/>
                <w:strike w:val="0"/>
                <w:color w:val="000080"/>
                <w:sz w:val="28"/>
                <w:szCs w:val="28"/>
                <w:u w:val="none"/>
                <w:vertAlign w:val="baseline"/>
                <w:rtl w:val="0"/>
              </w:rPr>
              <w:br w:type="textWrapping"/>
              <w:t xml:space="preserve">This position will be responsible for:</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800" w:right="0" w:hanging="359"/>
              <w:contextualSpacing w:val="1"/>
              <w:jc w:val="left"/>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Evaluation of Medicaid Provider Certification Applications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800" w:right="0" w:hanging="359"/>
              <w:contextualSpacing w:val="1"/>
              <w:jc w:val="left"/>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Communication and technical assistance with providers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800" w:right="0" w:hanging="359"/>
              <w:contextualSpacing w:val="1"/>
              <w:jc w:val="left"/>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Provider Database maintenance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800" w:right="0" w:hanging="359"/>
              <w:contextualSpacing w:val="1"/>
              <w:jc w:val="left"/>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Referring compliance and quality issues to the appropriate entities for remediation and/or corrective action</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800" w:right="0" w:hanging="359"/>
              <w:contextualSpacing w:val="1"/>
              <w:jc w:val="left"/>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Participation in continuous quality improvement processes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800" w:right="0" w:hanging="359"/>
              <w:contextualSpacing w:val="1"/>
              <w:jc w:val="left"/>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Coordination with other State entities when necessary</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800" w:right="0" w:hanging="359"/>
              <w:contextualSpacing w:val="1"/>
              <w:jc w:val="left"/>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Support the denial of applications throughout the appeals process when necessary</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800" w:right="0" w:hanging="359"/>
              <w:contextualSpacing w:val="1"/>
              <w:jc w:val="left"/>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Other duties as assigned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80"/>
                <w:sz w:val="28"/>
                <w:szCs w:val="28"/>
                <w:u w:val="none"/>
                <w:vertAlign w:val="baseline"/>
                <w:rtl w:val="0"/>
              </w:rPr>
              <w:t xml:space="preserve">The ideal candidate will possess the following Knowledge, Abilities, and Experience. Please document these qualities in your applicant cover letter.</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800" w:right="0" w:hanging="359"/>
              <w:contextualSpacing w:val="1"/>
              <w:jc w:val="left"/>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Experience with and/or a close familiarity with Medicaid and Waiver programs and systems, or similar health care services and delivery systems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800" w:right="0" w:hanging="359"/>
              <w:contextualSpacing w:val="1"/>
              <w:jc w:val="left"/>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Demonstrated ability to analyze data, facts or other information, draw logical evidence-based conclusions, and organize and present the information effectively.</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800" w:right="0" w:hanging="359"/>
              <w:contextualSpacing w:val="1"/>
              <w:jc w:val="left"/>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Experience working with databases, filing systems and other quality assurance processes or systems.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800" w:right="0" w:hanging="359"/>
              <w:contextualSpacing w:val="1"/>
              <w:jc w:val="left"/>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Experience providing technical assistance and/or education with a sound ability to communicate effectively with a variety of stakeholders, both verbally and in writing</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800" w:right="0" w:hanging="359"/>
              <w:contextualSpacing w:val="1"/>
              <w:jc w:val="left"/>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Some knowledge and/or familiarity with State of AK regulations, policies and terminology related to Medicaid and Home and Community Based Waiver programs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800" w:right="0" w:hanging="359"/>
              <w:contextualSpacing w:val="1"/>
              <w:jc w:val="left"/>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Ability to adapt to a rapidly changing work environment with professionalism and positivity</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800" w:right="0" w:hanging="359"/>
              <w:contextualSpacing w:val="1"/>
              <w:jc w:val="left"/>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Ability to handle routine assignments and a high volume workload with little supervision.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e6e6e6"/>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 Minimum Qualifications:</w:t>
            </w:r>
            <w:r w:rsidDel="00000000" w:rsidR="00000000" w:rsidRPr="00000000">
              <w:rPr>
                <w:rtl w:val="0"/>
              </w:rPr>
            </w:r>
          </w:p>
        </w:tc>
      </w:tr>
      <w:tr>
        <w:tc>
          <w:tcPr>
            <w:shd w:fill="ffffff"/>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 Bachelor's degree or the equivalent from an accredited college in public health, health sciences, health education, nursing, medical social work, health services administration, public administration, business administration or a closely related field.</w:t>
            </w:r>
            <w:r w:rsidDel="00000000" w:rsidR="00000000" w:rsidRPr="00000000">
              <w:rPr>
                <w:rFonts w:ascii="Arial" w:cs="Arial" w:eastAsia="Arial" w:hAnsi="Arial"/>
                <w:b w:val="0"/>
                <w:i w:val="0"/>
                <w:smallCaps w:val="0"/>
                <w:strike w:val="0"/>
                <w:color w:val="000000"/>
                <w:sz w:val="28"/>
                <w:szCs w:val="28"/>
                <w:u w:val="none"/>
                <w:vertAlign w:val="baseline"/>
                <w:rtl w:val="0"/>
              </w:rPr>
              <w:br w:type="textWrapping"/>
            </w:r>
            <w:r w:rsidDel="00000000" w:rsidR="00000000" w:rsidRPr="00000000">
              <w:rPr>
                <w:rFonts w:ascii="Arial" w:cs="Arial" w:eastAsia="Arial" w:hAnsi="Arial"/>
                <w:b w:val="1"/>
                <w:i w:val="0"/>
                <w:smallCaps w:val="0"/>
                <w:strike w:val="0"/>
                <w:color w:val="000000"/>
                <w:sz w:val="28"/>
                <w:szCs w:val="28"/>
                <w:u w:val="none"/>
                <w:vertAlign w:val="baseline"/>
                <w:rtl w:val="0"/>
              </w:rPr>
              <w:t xml:space="preserve">AND</w:t>
              <w:br w:type="textWrapping"/>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Two years of technical/paraprofessional level experience working with health care practices, services, delivery systems, terminology, financing, business practices and operations; or medical/public assistance programs and eligibility requirements; or health care claims evaluation and processing.</w:t>
            </w:r>
            <w:r w:rsidDel="00000000" w:rsidR="00000000" w:rsidRPr="00000000">
              <w:rPr>
                <w:rFonts w:ascii="Arial" w:cs="Arial" w:eastAsia="Arial" w:hAnsi="Arial"/>
                <w:b w:val="0"/>
                <w:i w:val="0"/>
                <w:smallCaps w:val="0"/>
                <w:strike w:val="0"/>
                <w:color w:val="000000"/>
                <w:sz w:val="28"/>
                <w:szCs w:val="28"/>
                <w:u w:val="none"/>
                <w:vertAlign w:val="baseline"/>
                <w:rtl w:val="0"/>
              </w:rPr>
              <w:br w:type="textWrapping"/>
              <w:br w:type="textWrapping"/>
            </w:r>
            <w:r w:rsidDel="00000000" w:rsidR="00000000" w:rsidRPr="00000000">
              <w:rPr>
                <w:rFonts w:ascii="Arial" w:cs="Arial" w:eastAsia="Arial" w:hAnsi="Arial"/>
                <w:b w:val="1"/>
                <w:i w:val="0"/>
                <w:smallCaps w:val="0"/>
                <w:strike w:val="0"/>
                <w:color w:val="000000"/>
                <w:sz w:val="28"/>
                <w:szCs w:val="28"/>
                <w:u w:val="none"/>
                <w:vertAlign w:val="baseline"/>
                <w:rtl w:val="0"/>
              </w:rPr>
              <w:t xml:space="preserve">Substitution:</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Additional technical/paraprofessional experience working with health care practices, services, delivery systems, terminology, financing, business practices and operations; or medical/public assistance program and eligibility requirements; or health care evaluation and processing may substitute for the education on a year-for-year basis.</w:t>
            </w:r>
            <w:r w:rsidDel="00000000" w:rsidR="00000000" w:rsidRPr="00000000">
              <w:rPr>
                <w:rFonts w:ascii="Arial" w:cs="Arial" w:eastAsia="Arial" w:hAnsi="Arial"/>
                <w:b w:val="0"/>
                <w:i w:val="0"/>
                <w:smallCaps w:val="0"/>
                <w:strike w:val="0"/>
                <w:color w:val="000000"/>
                <w:sz w:val="28"/>
                <w:szCs w:val="28"/>
                <w:u w:val="none"/>
                <w:vertAlign w:val="baseline"/>
                <w:rtl w:val="0"/>
              </w:rPr>
              <w:br w:type="textWrapping"/>
              <w:br w:type="textWrapping"/>
            </w:r>
            <w:r w:rsidDel="00000000" w:rsidR="00000000" w:rsidRPr="00000000">
              <w:rPr>
                <w:rFonts w:ascii="Arial" w:cs="Arial" w:eastAsia="Arial" w:hAnsi="Arial"/>
                <w:b w:val="1"/>
                <w:i w:val="0"/>
                <w:smallCaps w:val="0"/>
                <w:strike w:val="0"/>
                <w:color w:val="000000"/>
                <w:sz w:val="28"/>
                <w:szCs w:val="28"/>
                <w:u w:val="none"/>
                <w:vertAlign w:val="baseline"/>
                <w:rtl w:val="0"/>
              </w:rPr>
              <w:t xml:space="preserve">Special Note:</w:t>
            </w:r>
            <w:r w:rsidDel="00000000" w:rsidR="00000000" w:rsidRPr="00000000">
              <w:rPr>
                <w:rFonts w:ascii="Arial" w:cs="Arial" w:eastAsia="Arial" w:hAnsi="Arial"/>
                <w:b w:val="0"/>
                <w:i w:val="0"/>
                <w:smallCaps w:val="0"/>
                <w:strike w:val="0"/>
                <w:color w:val="000000"/>
                <w:sz w:val="28"/>
                <w:szCs w:val="28"/>
                <w:u w:val="none"/>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vertAlign w:val="baseline"/>
                <w:rtl w:val="0"/>
              </w:rPr>
              <w:t xml:space="preserve">Qualifying experience at each level in this series which would provide the needed knowledge of health care and medical assistance services, programs, delivery systems and/or business practices, terminology, operations, financing, etc. may be gained in a variety of situations under numerous working titles. </w:t>
            </w:r>
            <w:r w:rsidDel="00000000" w:rsidR="00000000" w:rsidRPr="00000000">
              <w:rPr>
                <w:rFonts w:ascii="Arial" w:cs="Arial" w:eastAsia="Arial" w:hAnsi="Arial"/>
                <w:b w:val="0"/>
                <w:i w:val="0"/>
                <w:smallCaps w:val="0"/>
                <w:strike w:val="0"/>
                <w:color w:val="000000"/>
                <w:sz w:val="28"/>
                <w:szCs w:val="28"/>
                <w:u w:val="none"/>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vertAlign w:val="baseline"/>
                <w:rtl w:val="0"/>
              </w:rPr>
              <w:t xml:space="preserve">Examples of such work experience would include any health care professional; health insurance claims processing supervisor or investigator; health educator, researcher or planner; and positions which determine and interpret health insurance policy coverage. Within the State of Alaska, job classes to consider would include Eligibility Technician II, Eligibility Quality Control Technician I, Public Assistance Analyst I, Health Program Associate, Health Program Manager I or Health and Social Services Planner I.</w:t>
            </w:r>
            <w:r w:rsidDel="00000000" w:rsidR="00000000" w:rsidRPr="00000000">
              <w:rPr>
                <w:rFonts w:ascii="Arial" w:cs="Arial" w:eastAsia="Arial" w:hAnsi="Arial"/>
                <w:b w:val="0"/>
                <w:i w:val="0"/>
                <w:smallCaps w:val="0"/>
                <w:strike w:val="0"/>
                <w:color w:val="000000"/>
                <w:sz w:val="28"/>
                <w:szCs w:val="28"/>
                <w:u w:val="none"/>
                <w:vertAlign w:val="baseline"/>
                <w:rtl w:val="0"/>
              </w:rPr>
              <w:br w:type="textWrapping"/>
              <w:br w:type="textWrapping"/>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Some positions may require specialized training and background, such as a Registered Nurse.</w:t>
            </w:r>
            <w:r w:rsidDel="00000000" w:rsidR="00000000" w:rsidRPr="00000000">
              <w:rPr>
                <w:rtl w:val="0"/>
              </w:rPr>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