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c7a0c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Provider Certification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hyperlink r:id="rId5">
        <w:r w:rsidDel="00000000" w:rsidR="00000000" w:rsidRPr="00000000">
          <w:rPr>
            <w:color w:val="0c7a0c"/>
            <w:rtl w:val="0"/>
          </w:rPr>
          <w:t xml:space="preserve">Sue’s Tiny Costumes</w:t>
        </w:r>
      </w:hyperlink>
      <w:r w:rsidDel="00000000" w:rsidR="00000000" w:rsidRPr="00000000">
        <w:rPr>
          <w:color w:val="0c7a0c"/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0c7a0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c7a0c"/>
                <w:sz w:val="22"/>
                <w:szCs w:val="22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Associate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Archiving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0" distR="0">
              <wp:extent cx="54229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36138" y="3752696"/>
                        <a:ext cx="541972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422900" cy="635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29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0c7a0c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0c7a0c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907-355-3750 Cell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mc:AlternateContent>
        <mc:Choice Requires="wpg">
          <w:drawing>
            <wp:inline distB="0" distT="0" distL="0" distR="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1763" y="3752696"/>
                        <a:ext cx="684847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858000" cy="63500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