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40" w:line="2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7">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8">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bookmarkStart w:colFirst="0" w:colLast="0" w:name="_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tl w:val="0"/>
        </w:rPr>
        <w:t xml:space="preserve">Skills</w:t>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4"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spacing w:after="0" w:before="118"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tl w:val="0"/>
        </w:rPr>
        <w:t xml:space="preserve">Technical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Management Achievements</w:t>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Writing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tl w:val="0"/>
        </w:rPr>
        <w:t xml:space="preserve">Administrative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tl w:val="0"/>
        </w:rPr>
        <w:t xml:space="preserve">Experience</w:t>
      </w:r>
    </w:p>
    <w:p w:rsidR="00000000" w:rsidDel="00000000" w:rsidP="00000000" w:rsidRDefault="00000000" w:rsidRPr="00000000">
      <w:pPr>
        <w:widowControl w:val="0"/>
        <w:tabs>
          <w:tab w:val="left" w:pos="3700"/>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tl w:val="0"/>
        </w:rPr>
        <w:t xml:space="preserve">Education</w:t>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tabs>
          <w:tab w:val="left" w:pos="2980"/>
        </w:tabs>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2"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Website Development and Design</w:t>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Business Marketing</w:t>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Fashion Design (Certificate)</w:t>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Certifications</w:t>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Training</w:t>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Organizations, Memberships and Workshops</w:t>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1279"/>
      </w:pPr>
      <w:rPr>
        <w:rFonts w:ascii="Arial" w:cs="Arial" w:eastAsia="Arial" w:hAnsi="Arial"/>
        <w:sz w:val="20"/>
        <w:szCs w:val="20"/>
      </w:rPr>
    </w:lvl>
    <w:lvl w:ilvl="1">
      <w:start w:val="1"/>
      <w:numFmt w:val="bullet"/>
      <w:lvlText w:val="•"/>
      <w:lvlJc w:val="left"/>
      <w:pPr>
        <w:ind w:left="1830" w:firstLine="3299"/>
      </w:pPr>
      <w:rPr>
        <w:rFonts w:ascii="Arial" w:cs="Arial" w:eastAsia="Arial" w:hAnsi="Arial"/>
      </w:rPr>
    </w:lvl>
    <w:lvl w:ilvl="2">
      <w:start w:val="1"/>
      <w:numFmt w:val="bullet"/>
      <w:lvlText w:val="•"/>
      <w:lvlJc w:val="left"/>
      <w:pPr>
        <w:ind w:left="2840" w:firstLine="5319"/>
      </w:pPr>
      <w:rPr>
        <w:rFonts w:ascii="Arial" w:cs="Arial" w:eastAsia="Arial" w:hAnsi="Arial"/>
      </w:rPr>
    </w:lvl>
    <w:lvl w:ilvl="3">
      <w:start w:val="1"/>
      <w:numFmt w:val="bullet"/>
      <w:lvlText w:val="•"/>
      <w:lvlJc w:val="left"/>
      <w:pPr>
        <w:ind w:left="3850" w:firstLine="7339"/>
      </w:pPr>
      <w:rPr>
        <w:rFonts w:ascii="Arial" w:cs="Arial" w:eastAsia="Arial" w:hAnsi="Arial"/>
      </w:rPr>
    </w:lvl>
    <w:lvl w:ilvl="4">
      <w:start w:val="1"/>
      <w:numFmt w:val="bullet"/>
      <w:lvlText w:val="•"/>
      <w:lvlJc w:val="left"/>
      <w:pPr>
        <w:ind w:left="4860" w:firstLine="9359"/>
      </w:pPr>
      <w:rPr>
        <w:rFonts w:ascii="Arial" w:cs="Arial" w:eastAsia="Arial" w:hAnsi="Arial"/>
      </w:rPr>
    </w:lvl>
    <w:lvl w:ilvl="5">
      <w:start w:val="1"/>
      <w:numFmt w:val="bullet"/>
      <w:lvlText w:val="•"/>
      <w:lvlJc w:val="left"/>
      <w:pPr>
        <w:ind w:left="5870" w:firstLine="11379"/>
      </w:pPr>
      <w:rPr>
        <w:rFonts w:ascii="Arial" w:cs="Arial" w:eastAsia="Arial" w:hAnsi="Arial"/>
      </w:rPr>
    </w:lvl>
    <w:lvl w:ilvl="6">
      <w:start w:val="1"/>
      <w:numFmt w:val="bullet"/>
      <w:lvlText w:val="•"/>
      <w:lvlJc w:val="left"/>
      <w:pPr>
        <w:ind w:left="6880" w:firstLine="13399"/>
      </w:pPr>
      <w:rPr>
        <w:rFonts w:ascii="Arial" w:cs="Arial" w:eastAsia="Arial" w:hAnsi="Arial"/>
      </w:rPr>
    </w:lvl>
    <w:lvl w:ilvl="7">
      <w:start w:val="1"/>
      <w:numFmt w:val="bullet"/>
      <w:lvlText w:val="•"/>
      <w:lvlJc w:val="left"/>
      <w:pPr>
        <w:ind w:left="7890" w:firstLine="15419"/>
      </w:pPr>
      <w:rPr>
        <w:rFonts w:ascii="Arial" w:cs="Arial" w:eastAsia="Arial" w:hAnsi="Arial"/>
      </w:rPr>
    </w:lvl>
    <w:lvl w:ilvl="8">
      <w:start w:val="1"/>
      <w:numFmt w:val="bullet"/>
      <w:lvlText w:val="•"/>
      <w:lvlJc w:val="left"/>
      <w:pPr>
        <w:ind w:left="8900" w:firstLine="174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1"/>
      <w:widowControl w:val="0"/>
      <w:spacing w:after="0" w:before="124" w:line="240" w:lineRule="auto"/>
      <w:ind w:left="100" w:right="0" w:firstLine="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